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A8467">
      <w:pPr>
        <w:spacing w:line="360" w:lineRule="auto"/>
        <w:jc w:val="center"/>
        <w:rPr>
          <w:rFonts w:ascii="宋体" w:hAnsi="宋体"/>
          <w:sz w:val="24"/>
        </w:rPr>
      </w:pPr>
    </w:p>
    <w:p w14:paraId="148B85AF">
      <w:pPr>
        <w:spacing w:line="360" w:lineRule="auto"/>
        <w:jc w:val="center"/>
        <w:rPr>
          <w:rFonts w:ascii="宋体" w:hAnsi="宋体"/>
          <w:sz w:val="24"/>
        </w:rPr>
      </w:pPr>
    </w:p>
    <w:p w14:paraId="41C1DF55">
      <w:pPr>
        <w:spacing w:line="360" w:lineRule="auto"/>
        <w:jc w:val="center"/>
        <w:rPr>
          <w:rFonts w:ascii="宋体" w:hAnsi="宋体"/>
          <w:sz w:val="24"/>
        </w:rPr>
      </w:pPr>
    </w:p>
    <w:p w14:paraId="353C7983">
      <w:pPr>
        <w:spacing w:line="360" w:lineRule="auto"/>
        <w:jc w:val="center"/>
        <w:rPr>
          <w:rFonts w:ascii="宋体" w:hAnsi="宋体"/>
          <w:sz w:val="24"/>
        </w:rPr>
      </w:pPr>
    </w:p>
    <w:p w14:paraId="7893F633">
      <w:pPr>
        <w:spacing w:line="360" w:lineRule="auto"/>
        <w:jc w:val="center"/>
        <w:rPr>
          <w:rFonts w:ascii="宋体" w:hAnsi="宋体"/>
          <w:b/>
          <w:bCs/>
          <w:sz w:val="52"/>
          <w:szCs w:val="52"/>
        </w:rPr>
      </w:pPr>
      <w:r>
        <w:rPr>
          <w:rFonts w:ascii="宋体" w:hAnsi="宋体"/>
          <w:b/>
          <w:bCs/>
          <w:sz w:val="52"/>
          <w:szCs w:val="52"/>
        </w:rPr>
        <w:t>2024</w:t>
      </w:r>
      <w:r>
        <w:rPr>
          <w:rFonts w:hint="eastAsia" w:ascii="宋体" w:hAnsi="宋体"/>
          <w:b/>
          <w:bCs/>
          <w:sz w:val="52"/>
          <w:szCs w:val="52"/>
        </w:rPr>
        <w:t>年度乌海市卫生健康委员会（本级）</w:t>
      </w:r>
    </w:p>
    <w:p w14:paraId="52F82765">
      <w:pPr>
        <w:spacing w:line="360" w:lineRule="auto"/>
        <w:jc w:val="center"/>
        <w:rPr>
          <w:rFonts w:hint="default" w:ascii="宋体" w:hAnsi="宋体" w:eastAsia="宋体"/>
          <w:b/>
          <w:bCs/>
          <w:sz w:val="52"/>
          <w:szCs w:val="52"/>
          <w:highlight w:val="none"/>
          <w:lang w:val="en-US" w:eastAsia="zh-CN"/>
        </w:rPr>
      </w:pPr>
      <w:r>
        <w:rPr>
          <w:rFonts w:hint="eastAsia" w:ascii="宋体" w:hAnsi="宋体"/>
          <w:b/>
          <w:bCs/>
          <w:sz w:val="52"/>
          <w:szCs w:val="52"/>
          <w:highlight w:val="none"/>
          <w:lang w:val="en-US" w:eastAsia="zh-CN"/>
        </w:rPr>
        <w:t>决算公开</w:t>
      </w:r>
    </w:p>
    <w:p w14:paraId="515B8601">
      <w:pPr>
        <w:spacing w:line="360" w:lineRule="auto"/>
        <w:jc w:val="center"/>
        <w:rPr>
          <w:rFonts w:ascii="宋体" w:hAnsi="宋体"/>
          <w:b/>
          <w:bCs/>
          <w:sz w:val="52"/>
          <w:szCs w:val="52"/>
        </w:rPr>
      </w:pPr>
    </w:p>
    <w:p w14:paraId="311B9FB8">
      <w:pPr>
        <w:spacing w:line="360" w:lineRule="auto"/>
        <w:jc w:val="center"/>
        <w:rPr>
          <w:rFonts w:ascii="宋体" w:hAnsi="宋体"/>
          <w:b/>
          <w:bCs/>
          <w:sz w:val="52"/>
          <w:szCs w:val="52"/>
        </w:rPr>
      </w:pPr>
    </w:p>
    <w:p w14:paraId="295893FE">
      <w:pPr>
        <w:spacing w:line="360" w:lineRule="auto"/>
        <w:jc w:val="center"/>
        <w:rPr>
          <w:rFonts w:ascii="宋体" w:hAnsi="宋体"/>
          <w:b/>
          <w:bCs/>
          <w:sz w:val="52"/>
          <w:szCs w:val="52"/>
        </w:rPr>
      </w:pPr>
    </w:p>
    <w:p w14:paraId="4590A3CE">
      <w:pPr>
        <w:spacing w:line="360" w:lineRule="auto"/>
        <w:jc w:val="center"/>
        <w:rPr>
          <w:rFonts w:ascii="宋体" w:hAnsi="宋体"/>
          <w:b/>
          <w:bCs/>
          <w:sz w:val="52"/>
          <w:szCs w:val="52"/>
        </w:rPr>
      </w:pPr>
    </w:p>
    <w:p w14:paraId="0D74F081">
      <w:pPr>
        <w:spacing w:line="360" w:lineRule="auto"/>
        <w:jc w:val="center"/>
        <w:rPr>
          <w:rFonts w:ascii="宋体" w:hAnsi="宋体"/>
          <w:b/>
          <w:bCs/>
          <w:sz w:val="52"/>
          <w:szCs w:val="52"/>
        </w:rPr>
      </w:pPr>
    </w:p>
    <w:p w14:paraId="0F8FCE39">
      <w:pPr>
        <w:ind w:firstLine="2249" w:firstLineChars="700"/>
        <w:rPr>
          <w:rFonts w:ascii="仿宋" w:hAnsi="仿宋" w:eastAsia="仿宋"/>
          <w:b/>
          <w:sz w:val="32"/>
          <w:szCs w:val="32"/>
        </w:rPr>
        <w:sectPr>
          <w:footerReference r:id="rId3" w:type="default"/>
          <w:pgSz w:w="11906" w:h="16838"/>
          <w:pgMar w:top="1440" w:right="1083" w:bottom="1440" w:left="1083" w:header="0" w:footer="720" w:gutter="0"/>
          <w:cols w:space="425" w:num="1"/>
          <w:docGrid w:type="lines" w:linePitch="312" w:charSpace="0"/>
        </w:sectPr>
      </w:pPr>
    </w:p>
    <w:p w14:paraId="59DFEA97">
      <w:pPr>
        <w:widowControl/>
        <w:spacing w:after="240"/>
        <w:jc w:val="center"/>
        <w:rPr>
          <w:rFonts w:eastAsia="Times New Roman"/>
          <w:kern w:val="0"/>
          <w:sz w:val="24"/>
        </w:rPr>
      </w:pPr>
      <w:bookmarkStart w:id="0" w:name="a000"/>
      <w:r>
        <w:rPr>
          <w:rFonts w:ascii="仿宋_GB2312" w:hAnsi="仿宋_GB2312" w:eastAsia="仿宋_GB2312" w:cs="仿宋_GB2312"/>
          <w:b/>
          <w:bCs/>
          <w:kern w:val="0"/>
          <w:sz w:val="54"/>
          <w:szCs w:val="54"/>
        </w:rPr>
        <w:t>目 录</w:t>
      </w:r>
    </w:p>
    <w:p w14:paraId="7DE000F1">
      <w:pPr>
        <w:widowControl/>
        <w:spacing w:before="240" w:after="240"/>
        <w:jc w:val="left"/>
        <w:rPr>
          <w:rFonts w:eastAsia="Times New Roman"/>
          <w:kern w:val="0"/>
          <w:sz w:val="24"/>
        </w:rPr>
      </w:pPr>
      <w:r>
        <w:rPr>
          <w:rFonts w:eastAsia="Times New Roman"/>
          <w:b/>
          <w:bCs/>
          <w:kern w:val="0"/>
          <w:sz w:val="24"/>
        </w:rPr>
        <w:t> </w:t>
      </w:r>
    </w:p>
    <w:p w14:paraId="3DF7D6E8">
      <w:pPr>
        <w:widowControl/>
        <w:spacing w:before="240" w:after="240"/>
        <w:jc w:val="left"/>
        <w:rPr>
          <w:rFonts w:eastAsia="Times New Roman"/>
          <w:kern w:val="0"/>
          <w:sz w:val="32"/>
          <w:szCs w:val="32"/>
        </w:rPr>
      </w:pPr>
      <w:r>
        <w:rPr>
          <w:rFonts w:ascii="黑体" w:hAnsi="黑体" w:eastAsia="黑体" w:cs="黑体"/>
          <w:kern w:val="0"/>
          <w:sz w:val="32"/>
          <w:szCs w:val="32"/>
        </w:rPr>
        <w:t>第一部分 单位概况</w:t>
      </w:r>
    </w:p>
    <w:p w14:paraId="5143B818">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一、主要职能、职责</w:t>
      </w:r>
    </w:p>
    <w:p w14:paraId="2145A63A">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二、单位机构设置及决算单位构成情况</w:t>
      </w:r>
    </w:p>
    <w:p w14:paraId="0184F2F6">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三、2024年度单位主要工作完成情况</w:t>
      </w:r>
    </w:p>
    <w:p w14:paraId="2613C13A">
      <w:pPr>
        <w:widowControl/>
        <w:spacing w:before="240" w:after="240"/>
        <w:jc w:val="left"/>
        <w:rPr>
          <w:rFonts w:eastAsia="Times New Roman"/>
          <w:kern w:val="0"/>
          <w:sz w:val="32"/>
          <w:szCs w:val="32"/>
        </w:rPr>
      </w:pPr>
      <w:r>
        <w:rPr>
          <w:rFonts w:ascii="黑体" w:hAnsi="黑体" w:eastAsia="黑体" w:cs="黑体"/>
          <w:kern w:val="0"/>
          <w:sz w:val="32"/>
          <w:szCs w:val="32"/>
        </w:rPr>
        <w:t>第二部分 单位决算情况说明</w:t>
      </w:r>
    </w:p>
    <w:p w14:paraId="4CC63D56">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一、收入支出决算总体情况说明</w:t>
      </w:r>
    </w:p>
    <w:p w14:paraId="0079FC5C">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二、收入决算情况说明</w:t>
      </w:r>
    </w:p>
    <w:p w14:paraId="11CB8923">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三、支出决算情况说明</w:t>
      </w:r>
    </w:p>
    <w:p w14:paraId="47471564">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四、财政拨款收入支出决算总体情况说明</w:t>
      </w:r>
    </w:p>
    <w:p w14:paraId="7B3B873A">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五、一般公共预算财政拨款支出决算情况说明</w:t>
      </w:r>
    </w:p>
    <w:p w14:paraId="2FB00CBF">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六、一般公共预算财政拨款基本支出决算情况说明</w:t>
      </w:r>
    </w:p>
    <w:p w14:paraId="7E1BA82A">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七、一般公共预算财政拨款项目支出决算情况说明</w:t>
      </w:r>
    </w:p>
    <w:p w14:paraId="5EBC3076">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八、财政拨款“三公”经费支出决算情况说明</w:t>
      </w:r>
    </w:p>
    <w:p w14:paraId="7972B24F">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九、政府性基金预算财政拨款支出决算情况说明</w:t>
      </w:r>
    </w:p>
    <w:p w14:paraId="6E548097">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十、国有资本经营预算财政拨款支出决算情况说明</w:t>
      </w:r>
    </w:p>
    <w:p w14:paraId="3DF9BF49">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十一、机关运行经费（公用经费）支出决算情况说明</w:t>
      </w:r>
    </w:p>
    <w:p w14:paraId="2F461626">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十二、政府采购支出决算情况说明</w:t>
      </w:r>
    </w:p>
    <w:p w14:paraId="0AC9518F">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十三、国有资产占用情况说明</w:t>
      </w:r>
    </w:p>
    <w:p w14:paraId="79792184">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十四、预算绩效情况说明</w:t>
      </w:r>
    </w:p>
    <w:p w14:paraId="5D5E34AF">
      <w:pPr>
        <w:widowControl/>
        <w:spacing w:before="240" w:after="240"/>
        <w:jc w:val="left"/>
        <w:rPr>
          <w:rFonts w:eastAsia="Times New Roman"/>
          <w:kern w:val="0"/>
          <w:sz w:val="32"/>
          <w:szCs w:val="32"/>
        </w:rPr>
      </w:pPr>
      <w:r>
        <w:rPr>
          <w:rFonts w:ascii="黑体" w:hAnsi="黑体" w:eastAsia="黑体" w:cs="黑体"/>
          <w:kern w:val="0"/>
          <w:sz w:val="32"/>
          <w:szCs w:val="32"/>
        </w:rPr>
        <w:t>第三部分 名词解释</w:t>
      </w:r>
    </w:p>
    <w:p w14:paraId="13B44360">
      <w:pPr>
        <w:widowControl/>
        <w:spacing w:before="240" w:after="240"/>
        <w:jc w:val="left"/>
        <w:rPr>
          <w:rFonts w:eastAsia="Times New Roman"/>
          <w:kern w:val="0"/>
          <w:sz w:val="32"/>
          <w:szCs w:val="32"/>
        </w:rPr>
      </w:pPr>
      <w:r>
        <w:rPr>
          <w:rFonts w:ascii="黑体" w:hAnsi="黑体" w:eastAsia="黑体" w:cs="黑体"/>
          <w:kern w:val="0"/>
          <w:sz w:val="32"/>
          <w:szCs w:val="32"/>
        </w:rPr>
        <w:t>第四部分 决算公开联系方式及信息反馈渠道</w:t>
      </w:r>
    </w:p>
    <w:p w14:paraId="0E767CD5">
      <w:pPr>
        <w:widowControl/>
        <w:spacing w:before="240" w:after="240"/>
        <w:jc w:val="left"/>
        <w:rPr>
          <w:rFonts w:eastAsia="Times New Roman"/>
          <w:kern w:val="0"/>
          <w:sz w:val="32"/>
          <w:szCs w:val="32"/>
        </w:rPr>
      </w:pPr>
      <w:r>
        <w:rPr>
          <w:rFonts w:ascii="黑体" w:hAnsi="黑体" w:eastAsia="黑体" w:cs="黑体"/>
          <w:kern w:val="0"/>
          <w:sz w:val="32"/>
          <w:szCs w:val="32"/>
        </w:rPr>
        <w:t>第五部分 单位决算表</w:t>
      </w:r>
    </w:p>
    <w:p w14:paraId="21E2510B">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一、收入支出决算总表</w:t>
      </w:r>
    </w:p>
    <w:p w14:paraId="313D0C39">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二、收入决算表</w:t>
      </w:r>
    </w:p>
    <w:p w14:paraId="50F099FE">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三、支出决算表</w:t>
      </w:r>
    </w:p>
    <w:p w14:paraId="255E667C">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四、财政拨款收入支出决算总表</w:t>
      </w:r>
    </w:p>
    <w:p w14:paraId="17B581E3">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五、一般公共预算财政拨款支出决算表</w:t>
      </w:r>
    </w:p>
    <w:p w14:paraId="4795F2CC">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六、一般公共预算财政拨款基本支出决算明细表</w:t>
      </w:r>
    </w:p>
    <w:p w14:paraId="77012BCE">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七、一般公共预算财政拨款项目支出决算明细表</w:t>
      </w:r>
    </w:p>
    <w:p w14:paraId="1459D6DF">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八、政府性基金预算财政拨款收入支出决算表</w:t>
      </w:r>
    </w:p>
    <w:p w14:paraId="337ED905">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九、国有资本经营预算财政拨款收入支出决算表</w:t>
      </w:r>
    </w:p>
    <w:p w14:paraId="305067B2">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十、财政拨款“三公”经费支出决算表</w:t>
      </w:r>
    </w:p>
    <w:p w14:paraId="4079CAFA">
      <w:pPr>
        <w:widowControl/>
        <w:spacing w:before="240" w:after="240"/>
        <w:jc w:val="left"/>
        <w:rPr>
          <w:rFonts w:hint="eastAsia" w:ascii="方正小标宋简体" w:hAnsi="方正小标宋简体" w:eastAsia="方正小标宋简体" w:cs="方正小标宋简体"/>
          <w:kern w:val="0"/>
          <w:sz w:val="32"/>
          <w:szCs w:val="32"/>
        </w:rPr>
      </w:pPr>
      <w:r>
        <w:rPr>
          <w:rFonts w:ascii="仿宋_GB2312" w:hAnsi="仿宋_GB2312" w:eastAsia="仿宋_GB2312" w:cs="仿宋_GB2312"/>
          <w:kern w:val="0"/>
          <w:sz w:val="32"/>
          <w:szCs w:val="32"/>
        </w:rPr>
        <w:t>十一、机关运行经费支出、国有资产占用情况及政府采购支出信息表</w:t>
      </w:r>
    </w:p>
    <w:p w14:paraId="7253B8A3">
      <w:pPr>
        <w:widowControl/>
        <w:spacing w:before="240" w:after="240"/>
        <w:rPr>
          <w:rFonts w:eastAsia="Times New Roman"/>
          <w:kern w:val="0"/>
          <w:sz w:val="24"/>
        </w:rPr>
      </w:pPr>
    </w:p>
    <w:p w14:paraId="2B4E9F97">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第一部分 单位概况</w:t>
      </w:r>
    </w:p>
    <w:p w14:paraId="10569D31">
      <w:pPr>
        <w:keepNext w:val="0"/>
        <w:keepLines w:val="0"/>
        <w:pageBreakBefore w:val="0"/>
        <w:widowControl/>
        <w:kinsoku/>
        <w:wordWrap/>
        <w:overflowPunct/>
        <w:topLinePunct w:val="0"/>
        <w:autoSpaceDE/>
        <w:autoSpaceDN/>
        <w:bidi w:val="0"/>
        <w:adjustRightInd/>
        <w:snapToGrid/>
        <w:spacing w:line="560" w:lineRule="exact"/>
        <w:ind w:firstLine="303" w:firstLineChars="112"/>
        <w:jc w:val="both"/>
        <w:textAlignment w:val="auto"/>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32"/>
          <w:szCs w:val="32"/>
        </w:rPr>
        <w:t xml:space="preserve"> </w:t>
      </w:r>
      <w:r>
        <w:rPr>
          <w:rFonts w:hint="eastAsia" w:ascii="黑体" w:hAnsi="黑体" w:eastAsia="黑体" w:cs="黑体"/>
          <w:b/>
          <w:bCs/>
          <w:kern w:val="0"/>
          <w:sz w:val="32"/>
          <w:szCs w:val="32"/>
          <w:lang w:val="en-US" w:eastAsia="zh-CN"/>
        </w:rPr>
        <w:t xml:space="preserve"> </w:t>
      </w:r>
      <w:r>
        <w:rPr>
          <w:rFonts w:ascii="黑体" w:hAnsi="黑体" w:eastAsia="黑体" w:cs="黑体"/>
          <w:b/>
          <w:bCs/>
          <w:kern w:val="0"/>
          <w:sz w:val="32"/>
          <w:szCs w:val="32"/>
        </w:rPr>
        <w:t>一、主要职能、职责</w:t>
      </w:r>
    </w:p>
    <w:p w14:paraId="7CCE01CA">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 xml:space="preserve">1.贯彻执行传染病预防控制及公共卫生监督的地方性法规、政策、标准，拟订传染病预防控制及公共卫生监督的规划，负责全市疾病预防控制网络和工作体系建设。 </w:t>
      </w:r>
    </w:p>
    <w:p w14:paraId="6C2A4F96">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 xml:space="preserve">2.领导全市各级疾病预防控制机构业务工作，制定监督检查和考核评价办法并组织实施。审核各区疾病预防控制局的监测预警等规划计划和应急预案，指导开展监测预警、免疫规划和隔离防控等相关工作，建立上下联动的分工协作机制。 </w:t>
      </w:r>
    </w:p>
    <w:p w14:paraId="5AC3A88A">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 xml:space="preserve">3.负责预防接种监督管理工作，组织预防接种服务体系及其信息系统建设。 </w:t>
      </w:r>
    </w:p>
    <w:p w14:paraId="543531AB">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 xml:space="preserve">4.统筹规划并监督管理全市传染病医疗机构及其他医疗机构疾病预防控制工作，推动建立疾病预防控制监督员制度，负责全市疾病预防控制系统人才队伍建设工作。 </w:t>
      </w:r>
    </w:p>
    <w:p w14:paraId="02D778DE">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5.负责推动传染病疫情监测预警体系建设，组织开展疫情监测、风险评估工作并发布疫情信息，建立健全全市跨部门、跨区域的疫情信息通报和共享机制。</w:t>
      </w:r>
    </w:p>
    <w:p w14:paraId="05CB52A3">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sz w:val="32"/>
          <w:szCs w:val="32"/>
        </w:rPr>
      </w:pPr>
      <w:r>
        <w:rPr>
          <w:rFonts w:hint="eastAsia" w:ascii="仿宋" w:hAnsi="仿宋" w:eastAsia="仿宋" w:cs="仿宋"/>
          <w:color w:val="0F0F0F"/>
          <w:kern w:val="0"/>
          <w:sz w:val="32"/>
          <w:szCs w:val="32"/>
          <w:lang w:val="en-US" w:eastAsia="zh-CN" w:bidi="ar"/>
        </w:rPr>
        <w:t>6.负责传染病疫情应对相关工作，组织开展流行病学调查、检验检测、应急处置等工作，拟订应急预案并组织开展演练组织指导疾病预防控制系统应急体系和能力建设，负责应急队伍、志愿者队伍建设，提出传染病疫情应对应急物资需求及分配意见。</w:t>
      </w:r>
    </w:p>
    <w:p w14:paraId="32FB84F1">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sz w:val="32"/>
          <w:szCs w:val="32"/>
        </w:rPr>
      </w:pPr>
      <w:r>
        <w:rPr>
          <w:rFonts w:hint="eastAsia" w:ascii="仿宋" w:hAnsi="仿宋" w:eastAsia="仿宋" w:cs="仿宋"/>
          <w:color w:val="090909"/>
          <w:kern w:val="0"/>
          <w:sz w:val="32"/>
          <w:szCs w:val="32"/>
          <w:lang w:val="en-US" w:eastAsia="zh-CN" w:bidi="ar"/>
        </w:rPr>
        <w:t>7.组织疾病预防控制科研体系建设，拟订疾病预防控制</w:t>
      </w:r>
      <w:r>
        <w:rPr>
          <w:rFonts w:hint="eastAsia" w:ascii="仿宋" w:hAnsi="仿宋" w:eastAsia="仿宋" w:cs="仿宋"/>
          <w:color w:val="0A0A0A"/>
          <w:kern w:val="0"/>
          <w:sz w:val="32"/>
          <w:szCs w:val="32"/>
          <w:lang w:val="en-US" w:eastAsia="zh-CN" w:bidi="ar"/>
        </w:rPr>
        <w:t>科技发展规划及相关计划并组织实施。</w:t>
      </w:r>
    </w:p>
    <w:p w14:paraId="604CD4A9">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sz w:val="32"/>
          <w:szCs w:val="32"/>
        </w:rPr>
      </w:pPr>
      <w:r>
        <w:rPr>
          <w:rFonts w:hint="eastAsia" w:ascii="仿宋" w:hAnsi="仿宋" w:eastAsia="仿宋" w:cs="仿宋"/>
          <w:color w:val="0A0A0A"/>
          <w:kern w:val="0"/>
          <w:sz w:val="32"/>
          <w:szCs w:val="32"/>
          <w:lang w:val="en-US" w:eastAsia="zh-CN" w:bidi="ar"/>
        </w:rPr>
        <w:t>8.与乌海海关建立健全应对口岸传染病疫情合作机制、传染病疫情通报交流机制、口岸输入性疫情通报、移交转运和协作处理机制。</w:t>
      </w:r>
    </w:p>
    <w:p w14:paraId="7C0E1CDF">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_GB2312" w:hAnsi="仿宋_GB2312" w:eastAsia="仿宋_GB2312" w:cs="仿宋_GB2312"/>
          <w:color w:val="000000"/>
          <w:sz w:val="32"/>
          <w:szCs w:val="24"/>
          <w:lang w:eastAsia="zh-CN"/>
        </w:rPr>
      </w:pPr>
      <w:r>
        <w:rPr>
          <w:rFonts w:hint="eastAsia" w:ascii="仿宋" w:hAnsi="仿宋" w:eastAsia="仿宋" w:cs="仿宋"/>
          <w:color w:val="0A0A0A"/>
          <w:kern w:val="0"/>
          <w:sz w:val="32"/>
          <w:szCs w:val="32"/>
          <w:lang w:val="en-US" w:eastAsia="zh-CN" w:bidi="ar"/>
        </w:rPr>
        <w:t>9.职能转变：市疾病预防控制局应当强化对全市各级疾病预防控制机构的业务领导和工作协同，建立健全全市疾病预防控制工作体系和网络，为维护人民健康提供有力保障。坚持将预防关口前移，健全多渠道监测预警机制，建立智慧化预警多点触发机制，推动公共卫生与医疗服务高效协同、无缝衔接，完善公共卫生重大风险评估、研判、决策机制，提高评估监测敏感性和准确性。优化资源配置，完善运行机制，坚持依法防控，落实早发现、早报告、早隔离、早治疗要求，推动构建常态化管理和应急管理动态衔接的基层治理机制，强化科研支撑体系，健全决策咨询体系，实现动态防控、科学防控、精准防控。调整下述主要职责：将原主要职责中的(六)“负责职责范围内的职业卫生、放射卫生、环境卫生、学校卫生、公共场所卫生、饮用水卫生等公共卫生的监督管理，负责传染病防治监督，健全卫生健康综合监督体系。牵头落实《烟草控制框架公约》有关工作。”调整为“负责传染病防治、环境卫生、学校卫生、公共场所卫生、饮用水卫生监督管理和职业卫生、放射卫生监督工作，依法组织查处重大违法行为，</w:t>
      </w:r>
      <w:r>
        <w:rPr>
          <w:rFonts w:hint="eastAsia" w:ascii="仿宋_GB2312" w:hAnsi="仿宋_GB2312" w:eastAsia="仿宋_GB2312" w:cs="仿宋_GB2312"/>
          <w:color w:val="000000"/>
          <w:sz w:val="32"/>
          <w:szCs w:val="24"/>
          <w:lang w:val="en-US" w:eastAsia="zh-CN"/>
        </w:rPr>
        <w:t>健全卫生健康综合监督体系。牵头落实《烟草控制框架公约》有关工作。”</w:t>
      </w:r>
    </w:p>
    <w:p w14:paraId="117EC92B">
      <w:pPr>
        <w:widowControl/>
        <w:spacing w:before="240" w:after="240"/>
        <w:ind w:firstLine="643" w:firstLineChars="200"/>
        <w:jc w:val="left"/>
        <w:rPr>
          <w:rFonts w:eastAsia="Times New Roman"/>
          <w:b/>
          <w:bCs/>
          <w:kern w:val="0"/>
          <w:sz w:val="32"/>
          <w:szCs w:val="32"/>
        </w:rPr>
      </w:pPr>
      <w:r>
        <w:rPr>
          <w:rFonts w:ascii="黑体" w:hAnsi="黑体" w:eastAsia="黑体" w:cs="黑体"/>
          <w:b/>
          <w:bCs/>
          <w:kern w:val="0"/>
          <w:sz w:val="32"/>
          <w:szCs w:val="32"/>
        </w:rPr>
        <w:t>二、单位机构设置及决算单位构成情况</w:t>
      </w:r>
    </w:p>
    <w:p w14:paraId="11917B0D">
      <w:pPr>
        <w:widowControl/>
        <w:autoSpaceDE/>
        <w:snapToGrid w:val="0"/>
        <w:spacing w:line="560" w:lineRule="exact"/>
        <w:ind w:firstLine="64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color w:val="000000"/>
          <w:sz w:val="32"/>
          <w:szCs w:val="24"/>
          <w:lang w:eastAsia="zh-CN"/>
        </w:rPr>
        <w:t>乌海市卫生健康委员会本级及下设独立预算单位共有1</w:t>
      </w:r>
      <w:r>
        <w:rPr>
          <w:rFonts w:hint="eastAsia" w:ascii="仿宋_GB2312" w:hAnsi="仿宋_GB2312" w:eastAsia="仿宋_GB2312" w:cs="仿宋_GB2312"/>
          <w:color w:val="000000"/>
          <w:sz w:val="32"/>
          <w:szCs w:val="24"/>
          <w:lang w:val="en-US" w:eastAsia="zh-CN"/>
        </w:rPr>
        <w:t>0</w:t>
      </w:r>
      <w:r>
        <w:rPr>
          <w:rFonts w:hint="eastAsia" w:ascii="仿宋_GB2312" w:hAnsi="仿宋_GB2312" w:eastAsia="仿宋_GB2312" w:cs="仿宋_GB2312"/>
          <w:color w:val="000000"/>
          <w:sz w:val="32"/>
          <w:szCs w:val="24"/>
          <w:lang w:eastAsia="zh-CN"/>
        </w:rPr>
        <w:t>家，其中：</w:t>
      </w:r>
    </w:p>
    <w:p w14:paraId="525D7921">
      <w:pPr>
        <w:widowControl/>
        <w:autoSpaceDE/>
        <w:snapToGrid w:val="0"/>
        <w:spacing w:line="560" w:lineRule="exact"/>
        <w:ind w:firstLine="64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32"/>
          <w:szCs w:val="24"/>
          <w:lang w:val="zh-CN"/>
        </w:rPr>
        <w:t>（</w:t>
      </w:r>
      <w:r>
        <w:rPr>
          <w:rFonts w:hint="eastAsia" w:ascii="仿宋_GB2312" w:hAnsi="仿宋_GB2312" w:eastAsia="仿宋_GB2312" w:cs="仿宋_GB2312"/>
          <w:sz w:val="32"/>
          <w:szCs w:val="32"/>
        </w:rPr>
        <w:t>一）</w:t>
      </w:r>
      <w:r>
        <w:rPr>
          <w:rFonts w:hint="eastAsia" w:ascii="仿宋_GB2312" w:hAnsi="仿宋_GB2312" w:eastAsia="仿宋_GB2312" w:cs="仿宋_GB2312"/>
          <w:color w:val="000000"/>
          <w:sz w:val="32"/>
          <w:szCs w:val="24"/>
          <w:lang w:eastAsia="zh-CN"/>
        </w:rPr>
        <w:t>财政拨款的行政单位1家，为乌海市卫生健康委员会本级，内设机构13个，分别为办公室、规划科、信息科等。截止202</w:t>
      </w:r>
      <w:r>
        <w:rPr>
          <w:rFonts w:hint="eastAsia" w:ascii="仿宋_GB2312" w:hAnsi="仿宋_GB2312" w:eastAsia="仿宋_GB2312" w:cs="仿宋_GB2312"/>
          <w:color w:val="000000"/>
          <w:sz w:val="32"/>
          <w:szCs w:val="24"/>
          <w:lang w:val="en-US" w:eastAsia="zh-CN"/>
        </w:rPr>
        <w:t>4</w:t>
      </w:r>
      <w:r>
        <w:rPr>
          <w:rFonts w:hint="eastAsia" w:ascii="仿宋_GB2312" w:hAnsi="仿宋_GB2312" w:eastAsia="仿宋_GB2312" w:cs="仿宋_GB2312"/>
          <w:color w:val="000000"/>
          <w:sz w:val="32"/>
          <w:szCs w:val="24"/>
          <w:lang w:eastAsia="zh-CN"/>
        </w:rPr>
        <w:t>年12月，在职实有人</w:t>
      </w:r>
      <w:r>
        <w:rPr>
          <w:rFonts w:hint="eastAsia" w:ascii="仿宋_GB2312" w:hAnsi="仿宋_GB2312" w:eastAsia="仿宋_GB2312" w:cs="仿宋_GB2312"/>
          <w:color w:val="000000"/>
          <w:sz w:val="32"/>
          <w:szCs w:val="24"/>
          <w:lang w:val="en-US" w:eastAsia="zh-CN"/>
        </w:rPr>
        <w:t>41</w:t>
      </w:r>
      <w:r>
        <w:rPr>
          <w:rFonts w:hint="eastAsia" w:ascii="仿宋_GB2312" w:hAnsi="仿宋_GB2312" w:eastAsia="仿宋_GB2312" w:cs="仿宋_GB2312"/>
          <w:color w:val="000000"/>
          <w:sz w:val="32"/>
          <w:szCs w:val="24"/>
          <w:lang w:eastAsia="zh-CN"/>
        </w:rPr>
        <w:t>数人，退休人员3</w:t>
      </w:r>
      <w:r>
        <w:rPr>
          <w:rFonts w:hint="eastAsia" w:ascii="仿宋_GB2312" w:hAnsi="仿宋_GB2312" w:eastAsia="仿宋_GB2312" w:cs="仿宋_GB2312"/>
          <w:color w:val="000000"/>
          <w:sz w:val="32"/>
          <w:szCs w:val="24"/>
          <w:lang w:val="en-US" w:eastAsia="zh-CN"/>
        </w:rPr>
        <w:t>6</w:t>
      </w:r>
      <w:r>
        <w:rPr>
          <w:rFonts w:hint="eastAsia" w:ascii="仿宋_GB2312" w:hAnsi="仿宋_GB2312" w:eastAsia="仿宋_GB2312" w:cs="仿宋_GB2312"/>
          <w:color w:val="000000"/>
          <w:sz w:val="32"/>
          <w:szCs w:val="24"/>
          <w:lang w:eastAsia="zh-CN"/>
        </w:rPr>
        <w:t>人。</w:t>
      </w:r>
    </w:p>
    <w:p w14:paraId="456E4645">
      <w:pPr>
        <w:widowControl/>
        <w:spacing w:before="100" w:after="100" w:line="580" w:lineRule="atLeast"/>
        <w:ind w:firstLine="600"/>
        <w:rPr>
          <w:rFonts w:hint="eastAsia" w:ascii="仿宋_GB2312" w:hAnsi="仿宋_GB2312" w:eastAsia="仿宋_GB2312" w:cs="仿宋_GB2312"/>
          <w:sz w:val="24"/>
          <w:szCs w:val="24"/>
          <w:lang w:eastAsia="zh-CN"/>
        </w:rPr>
      </w:pPr>
      <w:r>
        <w:rPr>
          <w:rFonts w:ascii="times_new_roman" w:hAnsi="times_new_roman" w:eastAsia="times_new_roman" w:cs="times_new_roman"/>
          <w:kern w:val="0"/>
          <w:sz w:val="27"/>
          <w:szCs w:val="27"/>
        </w:rPr>
        <w:t>   </w:t>
      </w:r>
      <w:r>
        <w:rPr>
          <w:rFonts w:hint="eastAsia" w:ascii="仿宋_GB2312" w:hAnsi="仿宋_GB2312" w:eastAsia="仿宋_GB2312" w:cs="仿宋_GB2312"/>
          <w:sz w:val="32"/>
          <w:szCs w:val="24"/>
          <w:lang w:eastAsia="zh-CN"/>
        </w:rPr>
        <w:t>从决算单位构成看，纳入本部门202</w:t>
      </w:r>
      <w:r>
        <w:rPr>
          <w:rFonts w:hint="eastAsia" w:ascii="仿宋_GB2312" w:hAnsi="仿宋_GB2312" w:eastAsia="仿宋_GB2312" w:cs="仿宋_GB2312"/>
          <w:sz w:val="32"/>
          <w:szCs w:val="24"/>
          <w:lang w:val="en-US" w:eastAsia="zh-CN"/>
        </w:rPr>
        <w:t>3</w:t>
      </w:r>
      <w:r>
        <w:rPr>
          <w:rFonts w:hint="eastAsia" w:ascii="仿宋_GB2312" w:hAnsi="仿宋_GB2312" w:eastAsia="仿宋_GB2312" w:cs="仿宋_GB2312"/>
          <w:sz w:val="32"/>
          <w:szCs w:val="24"/>
          <w:lang w:eastAsia="zh-CN"/>
        </w:rPr>
        <w:t>年度部门汇总决算编制范围的预算单位共计</w:t>
      </w:r>
      <w:r>
        <w:rPr>
          <w:rFonts w:hint="eastAsia" w:ascii="仿宋_GB2312" w:hAnsi="仿宋_GB2312" w:eastAsia="仿宋_GB2312" w:cs="仿宋_GB2312"/>
          <w:color w:val="000000"/>
          <w:sz w:val="32"/>
          <w:szCs w:val="24"/>
          <w:lang w:eastAsia="zh-CN"/>
        </w:rPr>
        <w:t>1</w:t>
      </w:r>
      <w:r>
        <w:rPr>
          <w:rFonts w:hint="eastAsia" w:ascii="仿宋_GB2312" w:hAnsi="仿宋_GB2312" w:eastAsia="仿宋_GB2312" w:cs="仿宋_GB2312"/>
          <w:sz w:val="32"/>
          <w:szCs w:val="24"/>
          <w:lang w:eastAsia="zh-CN"/>
        </w:rPr>
        <w:t>家，详细情况见表：</w:t>
      </w:r>
    </w:p>
    <w:tbl>
      <w:tblPr>
        <w:tblStyle w:val="19"/>
        <w:tblW w:w="10178" w:type="dxa"/>
        <w:jc w:val="center"/>
        <w:tblCellSpacing w:w="15" w:type="dxa"/>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Layout w:type="fixed"/>
        <w:tblCellMar>
          <w:top w:w="15" w:type="dxa"/>
          <w:left w:w="15" w:type="dxa"/>
          <w:bottom w:w="15" w:type="dxa"/>
          <w:right w:w="15" w:type="dxa"/>
        </w:tblCellMar>
      </w:tblPr>
      <w:tblGrid>
        <w:gridCol w:w="853"/>
        <w:gridCol w:w="6137"/>
        <w:gridCol w:w="3188"/>
      </w:tblGrid>
      <w:tr w14:paraId="6B4EC260">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99" w:hRule="atLeast"/>
          <w:tblHeader/>
          <w:tblCellSpacing w:w="15" w:type="dxa"/>
          <w:jc w:val="center"/>
        </w:trPr>
        <w:tc>
          <w:tcPr>
            <w:tcW w:w="808"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1FFFBA83">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序号</w:t>
            </w:r>
          </w:p>
        </w:tc>
        <w:tc>
          <w:tcPr>
            <w:tcW w:w="6107"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3CA5BC3F">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单位名称</w:t>
            </w:r>
          </w:p>
        </w:tc>
        <w:tc>
          <w:tcPr>
            <w:tcW w:w="3143"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02FC62FB">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单位性质</w:t>
            </w:r>
          </w:p>
        </w:tc>
      </w:tr>
      <w:tr w14:paraId="10D48C31">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474" w:hRule="atLeast"/>
          <w:tblCellSpacing w:w="15" w:type="dxa"/>
          <w:jc w:val="center"/>
        </w:trPr>
        <w:tc>
          <w:tcPr>
            <w:tcW w:w="808"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7D25FE9A">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w:t>
            </w:r>
          </w:p>
        </w:tc>
        <w:tc>
          <w:tcPr>
            <w:tcW w:w="6107"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7C364F59">
            <w:pPr>
              <w:widowControl/>
              <w:jc w:val="cente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乌海市卫生健康委员会</w:t>
            </w:r>
          </w:p>
        </w:tc>
        <w:tc>
          <w:tcPr>
            <w:tcW w:w="3143"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46050C41">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行政单位</w:t>
            </w:r>
          </w:p>
        </w:tc>
      </w:tr>
    </w:tbl>
    <w:p w14:paraId="5923DAFF">
      <w:pPr>
        <w:widowControl/>
        <w:spacing w:before="240" w:after="240"/>
        <w:jc w:val="left"/>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三、2024年度单位主要工作完成情况</w:t>
      </w:r>
    </w:p>
    <w:p w14:paraId="0D810FD5">
      <w:pPr>
        <w:pStyle w:val="16"/>
        <w:keepNext w:val="0"/>
        <w:keepLines w:val="0"/>
        <w:pageBreakBefore w:val="0"/>
        <w:widowControl w:val="0"/>
        <w:kinsoku/>
        <w:wordWrap/>
        <w:overflowPunct w:val="0"/>
        <w:topLinePunct w:val="0"/>
        <w:autoSpaceDE/>
        <w:autoSpaceDN/>
        <w:bidi w:val="0"/>
        <w:adjustRightInd/>
        <w:snapToGrid/>
        <w:spacing w:line="560" w:lineRule="exact"/>
        <w:ind w:left="0" w:leftChars="0" w:firstLine="540" w:firstLineChars="200"/>
        <w:jc w:val="both"/>
        <w:textAlignment w:val="auto"/>
        <w:rPr>
          <w:rFonts w:hint="eastAsia" w:ascii="Times New Roman" w:hAnsi="Times New Roman" w:eastAsia="楷体_GB2312" w:cs="方正楷体_GBK"/>
          <w:color w:val="auto"/>
          <w:spacing w:val="0"/>
          <w:sz w:val="32"/>
          <w:szCs w:val="32"/>
          <w:lang w:eastAsia="zh-CN"/>
        </w:rPr>
      </w:pPr>
      <w:r>
        <w:rPr>
          <w:rFonts w:ascii="仿宋_GB2312" w:hAnsi="仿宋_GB2312" w:eastAsia="仿宋_GB2312" w:cs="仿宋_GB2312"/>
          <w:kern w:val="0"/>
          <w:sz w:val="27"/>
          <w:szCs w:val="27"/>
        </w:rPr>
        <w:t xml:space="preserve">    </w:t>
      </w:r>
      <w:r>
        <w:rPr>
          <w:rFonts w:hint="eastAsia" w:ascii="Times New Roman" w:hAnsi="Times New Roman" w:eastAsia="楷体_GB2312" w:cs="方正楷体_GBK"/>
          <w:color w:val="auto"/>
          <w:spacing w:val="0"/>
          <w:sz w:val="32"/>
          <w:szCs w:val="32"/>
        </w:rPr>
        <w:t>（一）高效整合型医疗卫生服务体系</w:t>
      </w:r>
      <w:r>
        <w:rPr>
          <w:rFonts w:hint="eastAsia" w:ascii="Times New Roman" w:hAnsi="Times New Roman" w:eastAsia="楷体_GB2312" w:cs="方正楷体_GBK"/>
          <w:color w:val="auto"/>
          <w:spacing w:val="0"/>
          <w:sz w:val="32"/>
          <w:szCs w:val="32"/>
          <w:lang w:eastAsia="zh-CN"/>
        </w:rPr>
        <w:t>进一步完善</w:t>
      </w:r>
    </w:p>
    <w:p w14:paraId="423B0083">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b w:val="0"/>
          <w:bCs w:val="0"/>
          <w:color w:val="auto"/>
          <w:spacing w:val="0"/>
          <w:sz w:val="32"/>
          <w:szCs w:val="32"/>
        </w:rPr>
      </w:pPr>
      <w:r>
        <w:rPr>
          <w:rFonts w:hint="eastAsia" w:ascii="Times New Roman" w:hAnsi="Times New Roman" w:eastAsia="仿宋_GB2312"/>
          <w:b w:val="0"/>
          <w:bCs w:val="0"/>
          <w:color w:val="auto"/>
          <w:spacing w:val="0"/>
          <w:sz w:val="32"/>
          <w:szCs w:val="32"/>
          <w:lang w:eastAsia="zh-CN"/>
        </w:rPr>
        <w:t>一是</w:t>
      </w:r>
      <w:r>
        <w:rPr>
          <w:rFonts w:hint="eastAsia" w:ascii="Times New Roman" w:hAnsi="Times New Roman" w:eastAsia="仿宋_GB2312" w:cs="仿宋_GB2312"/>
          <w:b w:val="0"/>
          <w:bCs w:val="0"/>
          <w:color w:val="auto"/>
          <w:spacing w:val="0"/>
          <w:sz w:val="32"/>
          <w:szCs w:val="32"/>
        </w:rPr>
        <w:t>获评全区优质高效医疗卫生服务体系改革示范城市。</w:t>
      </w:r>
      <w:r>
        <w:rPr>
          <w:rFonts w:hint="eastAsia" w:ascii="Times New Roman" w:hAnsi="Times New Roman" w:eastAsia="仿宋_GB2312"/>
          <w:b w:val="0"/>
          <w:bCs w:val="0"/>
          <w:color w:val="auto"/>
          <w:spacing w:val="0"/>
          <w:sz w:val="32"/>
          <w:szCs w:val="32"/>
          <w:lang w:eastAsia="zh-CN"/>
        </w:rPr>
        <w:t>二是</w:t>
      </w:r>
      <w:r>
        <w:rPr>
          <w:rFonts w:hint="eastAsia" w:ascii="Times New Roman" w:hAnsi="Times New Roman" w:eastAsia="仿宋_GB2312" w:cs="Times New Roman"/>
          <w:b w:val="0"/>
          <w:bCs w:val="0"/>
          <w:color w:val="auto"/>
          <w:spacing w:val="0"/>
          <w:sz w:val="32"/>
          <w:szCs w:val="32"/>
          <w:lang w:eastAsia="zh-CN"/>
        </w:rPr>
        <w:t>城市医疗集团网格化服务体系建设迈入新阶段。</w:t>
      </w:r>
      <w:r>
        <w:rPr>
          <w:rFonts w:hint="eastAsia" w:ascii="Times New Roman" w:hAnsi="Times New Roman" w:eastAsia="仿宋_GB2312" w:cs="Times New Roman"/>
          <w:b w:val="0"/>
          <w:bCs w:val="0"/>
          <w:color w:val="auto"/>
          <w:spacing w:val="0"/>
          <w:sz w:val="32"/>
          <w:szCs w:val="32"/>
          <w:lang w:val="en-US" w:eastAsia="zh-CN"/>
        </w:rPr>
        <w:t>三是</w:t>
      </w:r>
      <w:r>
        <w:rPr>
          <w:rFonts w:hint="eastAsia" w:ascii="Times New Roman" w:hAnsi="Times New Roman" w:eastAsia="仿宋_GB2312"/>
          <w:b w:val="0"/>
          <w:bCs w:val="0"/>
          <w:color w:val="auto"/>
          <w:spacing w:val="0"/>
          <w:sz w:val="32"/>
          <w:szCs w:val="32"/>
        </w:rPr>
        <w:t>专科</w:t>
      </w:r>
      <w:r>
        <w:rPr>
          <w:rFonts w:hint="eastAsia" w:ascii="Times New Roman" w:hAnsi="Times New Roman" w:eastAsia="仿宋_GB2312"/>
          <w:b w:val="0"/>
          <w:bCs w:val="0"/>
          <w:color w:val="auto"/>
          <w:spacing w:val="0"/>
          <w:sz w:val="32"/>
          <w:szCs w:val="32"/>
          <w:lang w:eastAsia="zh-CN"/>
        </w:rPr>
        <w:t>能力</w:t>
      </w:r>
      <w:r>
        <w:rPr>
          <w:rFonts w:hint="eastAsia" w:ascii="Times New Roman" w:hAnsi="Times New Roman" w:eastAsia="仿宋_GB2312"/>
          <w:b w:val="0"/>
          <w:bCs w:val="0"/>
          <w:color w:val="auto"/>
          <w:spacing w:val="0"/>
          <w:sz w:val="32"/>
          <w:szCs w:val="32"/>
        </w:rPr>
        <w:t>建设</w:t>
      </w:r>
      <w:r>
        <w:rPr>
          <w:rFonts w:hint="eastAsia" w:ascii="Times New Roman" w:hAnsi="Times New Roman" w:eastAsia="仿宋_GB2312"/>
          <w:b w:val="0"/>
          <w:bCs w:val="0"/>
          <w:color w:val="auto"/>
          <w:spacing w:val="0"/>
          <w:sz w:val="32"/>
          <w:szCs w:val="32"/>
          <w:lang w:eastAsia="zh-CN"/>
        </w:rPr>
        <w:t>得到大幅提升</w:t>
      </w:r>
      <w:r>
        <w:rPr>
          <w:rFonts w:hint="eastAsia" w:ascii="Times New Roman" w:hAnsi="Times New Roman" w:eastAsia="仿宋_GB2312"/>
          <w:b w:val="0"/>
          <w:bCs w:val="0"/>
          <w:color w:val="auto"/>
          <w:spacing w:val="0"/>
          <w:sz w:val="32"/>
          <w:szCs w:val="32"/>
        </w:rPr>
        <w:t>。</w:t>
      </w:r>
    </w:p>
    <w:p w14:paraId="6A55CF97">
      <w:pPr>
        <w:pStyle w:val="16"/>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方正楷体_GBK"/>
          <w:color w:val="auto"/>
          <w:spacing w:val="0"/>
          <w:sz w:val="32"/>
          <w:szCs w:val="32"/>
          <w:lang w:eastAsia="zh-CN"/>
        </w:rPr>
      </w:pPr>
      <w:r>
        <w:rPr>
          <w:rFonts w:hint="eastAsia" w:ascii="Times New Roman" w:hAnsi="Times New Roman" w:eastAsia="楷体_GB2312" w:cs="方正楷体_GBK"/>
          <w:color w:val="auto"/>
          <w:spacing w:val="0"/>
          <w:sz w:val="32"/>
          <w:szCs w:val="32"/>
        </w:rPr>
        <w:t>（</w:t>
      </w:r>
      <w:r>
        <w:rPr>
          <w:rFonts w:hint="eastAsia" w:ascii="Times New Roman" w:hAnsi="Times New Roman" w:eastAsia="楷体_GB2312" w:cs="方正楷体_GBK"/>
          <w:color w:val="auto"/>
          <w:spacing w:val="0"/>
          <w:sz w:val="32"/>
          <w:szCs w:val="32"/>
          <w:lang w:val="en-US" w:eastAsia="zh-CN"/>
        </w:rPr>
        <w:t>二</w:t>
      </w:r>
      <w:r>
        <w:rPr>
          <w:rFonts w:hint="eastAsia" w:ascii="Times New Roman" w:hAnsi="Times New Roman" w:eastAsia="楷体_GB2312" w:cs="方正楷体_GBK"/>
          <w:color w:val="auto"/>
          <w:spacing w:val="0"/>
          <w:sz w:val="32"/>
          <w:szCs w:val="32"/>
        </w:rPr>
        <w:t>）</w:t>
      </w:r>
      <w:r>
        <w:rPr>
          <w:rFonts w:hint="eastAsia" w:ascii="Times New Roman" w:hAnsi="Times New Roman" w:eastAsia="楷体_GB2312" w:cs="方正楷体_GBK"/>
          <w:color w:val="auto"/>
          <w:spacing w:val="0"/>
          <w:sz w:val="32"/>
          <w:szCs w:val="32"/>
          <w:lang w:eastAsia="zh-CN"/>
        </w:rPr>
        <w:t>公立医院高质量发展</w:t>
      </w:r>
      <w:r>
        <w:rPr>
          <w:rFonts w:hint="eastAsia" w:ascii="Times New Roman" w:hAnsi="Times New Roman" w:eastAsia="楷体_GB2312" w:cs="方正楷体_GBK"/>
          <w:color w:val="auto"/>
          <w:spacing w:val="0"/>
          <w:sz w:val="32"/>
          <w:szCs w:val="32"/>
        </w:rPr>
        <w:t>提质增效</w:t>
      </w:r>
      <w:r>
        <w:rPr>
          <w:rFonts w:hint="eastAsia" w:ascii="Times New Roman" w:hAnsi="Times New Roman" w:eastAsia="楷体_GB2312" w:cs="方正楷体_GBK"/>
          <w:color w:val="auto"/>
          <w:spacing w:val="0"/>
          <w:sz w:val="32"/>
          <w:szCs w:val="32"/>
          <w:lang w:eastAsia="zh-CN"/>
        </w:rPr>
        <w:t>显著。</w:t>
      </w:r>
    </w:p>
    <w:p w14:paraId="3E250B0B">
      <w:pPr>
        <w:keepNext w:val="0"/>
        <w:keepLines w:val="0"/>
        <w:pageBreakBefore w:val="0"/>
        <w:widowControl w:val="0"/>
        <w:kinsoku/>
        <w:wordWrap/>
        <w:overflowPunct w:val="0"/>
        <w:topLinePunct w:val="0"/>
        <w:autoSpaceDE/>
        <w:autoSpaceDN/>
        <w:bidi w:val="0"/>
        <w:adjustRightInd/>
        <w:snapToGrid/>
        <w:spacing w:line="558" w:lineRule="exact"/>
        <w:ind w:left="0" w:leftChars="0" w:firstLine="640" w:firstLineChars="200"/>
        <w:textAlignment w:val="auto"/>
        <w:rPr>
          <w:rFonts w:hint="eastAsia" w:ascii="Times New Roman" w:hAnsi="Times New Roman" w:eastAsia="仿宋_GB2312"/>
          <w:b w:val="0"/>
          <w:bCs w:val="0"/>
          <w:color w:val="auto"/>
          <w:spacing w:val="0"/>
          <w:sz w:val="32"/>
          <w:szCs w:val="32"/>
          <w:highlight w:val="none"/>
          <w:u w:val="none"/>
        </w:rPr>
      </w:pPr>
      <w:r>
        <w:rPr>
          <w:rFonts w:hint="eastAsia" w:ascii="Times New Roman" w:hAnsi="Times New Roman" w:eastAsia="仿宋_GB2312"/>
          <w:b w:val="0"/>
          <w:bCs w:val="0"/>
          <w:color w:val="auto"/>
          <w:spacing w:val="0"/>
          <w:sz w:val="32"/>
          <w:szCs w:val="32"/>
          <w:shd w:val="clear" w:color="auto" w:fill="FFFFFF"/>
          <w:lang w:val="en-US" w:eastAsia="zh-CN"/>
        </w:rPr>
        <w:t>一是扎实推进全市卫生健康事业高质量发展，</w:t>
      </w:r>
      <w:r>
        <w:rPr>
          <w:rFonts w:hint="default" w:ascii="Times New Roman" w:hAnsi="Times New Roman" w:eastAsia="仿宋_GB2312" w:cs="Times New Roman"/>
          <w:b w:val="0"/>
          <w:bCs w:val="0"/>
          <w:color w:val="auto"/>
          <w:spacing w:val="0"/>
          <w:sz w:val="32"/>
          <w:szCs w:val="32"/>
        </w:rPr>
        <w:t>41项</w:t>
      </w:r>
      <w:r>
        <w:rPr>
          <w:rFonts w:hint="eastAsia" w:ascii="Times New Roman" w:hAnsi="Times New Roman" w:eastAsia="仿宋_GB2312" w:cs="Times New Roman"/>
          <w:b w:val="0"/>
          <w:bCs w:val="0"/>
          <w:color w:val="auto"/>
          <w:spacing w:val="0"/>
          <w:sz w:val="32"/>
          <w:szCs w:val="32"/>
          <w:lang w:eastAsia="zh-CN"/>
        </w:rPr>
        <w:t>年度</w:t>
      </w:r>
      <w:r>
        <w:rPr>
          <w:rFonts w:hint="eastAsia" w:ascii="Times New Roman" w:hAnsi="Times New Roman" w:eastAsia="仿宋_GB2312" w:cs="Times New Roman"/>
          <w:b w:val="0"/>
          <w:bCs w:val="0"/>
          <w:color w:val="auto"/>
          <w:spacing w:val="0"/>
          <w:sz w:val="32"/>
          <w:szCs w:val="32"/>
          <w:lang w:val="en-US" w:eastAsia="zh-CN"/>
        </w:rPr>
        <w:t>改革</w:t>
      </w:r>
      <w:r>
        <w:rPr>
          <w:rFonts w:hint="default" w:ascii="Times New Roman" w:hAnsi="Times New Roman" w:eastAsia="仿宋_GB2312" w:cs="Times New Roman"/>
          <w:b w:val="0"/>
          <w:bCs w:val="0"/>
          <w:color w:val="auto"/>
          <w:spacing w:val="0"/>
          <w:sz w:val="32"/>
          <w:szCs w:val="32"/>
          <w:lang w:val="en-US" w:eastAsia="zh-CN"/>
        </w:rPr>
        <w:t>全部完成</w:t>
      </w:r>
      <w:r>
        <w:rPr>
          <w:rFonts w:hint="eastAsia" w:ascii="Times New Roman" w:hAnsi="Times New Roman" w:eastAsia="仿宋_GB2312" w:cs="Times New Roman"/>
          <w:b w:val="0"/>
          <w:bCs w:val="0"/>
          <w:color w:val="auto"/>
          <w:spacing w:val="0"/>
          <w:sz w:val="32"/>
          <w:szCs w:val="32"/>
          <w:lang w:val="en-US" w:eastAsia="zh-CN"/>
        </w:rPr>
        <w:t>。</w:t>
      </w:r>
      <w:r>
        <w:rPr>
          <w:rFonts w:hint="eastAsia" w:ascii="Times New Roman" w:hAnsi="Times New Roman" w:eastAsia="仿宋_GB2312"/>
          <w:b w:val="0"/>
          <w:bCs w:val="0"/>
          <w:color w:val="auto"/>
          <w:spacing w:val="0"/>
          <w:sz w:val="32"/>
          <w:szCs w:val="32"/>
        </w:rPr>
        <w:t>二是做好“三医”联动减轻患者就医负担。</w:t>
      </w:r>
      <w:r>
        <w:rPr>
          <w:rFonts w:ascii="Times New Roman" w:hAnsi="Times New Roman" w:eastAsia="仿宋_GB2312"/>
          <w:b w:val="0"/>
          <w:bCs w:val="0"/>
          <w:color w:val="auto"/>
          <w:spacing w:val="0"/>
          <w:sz w:val="32"/>
          <w:szCs w:val="32"/>
        </w:rPr>
        <w:t>推进基本药物全额保障项目</w:t>
      </w:r>
      <w:r>
        <w:rPr>
          <w:rFonts w:hint="eastAsia" w:ascii="Times New Roman" w:hAnsi="Times New Roman" w:eastAsia="仿宋_GB2312"/>
          <w:b w:val="0"/>
          <w:bCs w:val="0"/>
          <w:color w:val="auto"/>
          <w:spacing w:val="0"/>
          <w:sz w:val="32"/>
          <w:szCs w:val="32"/>
        </w:rPr>
        <w:t>和公立</w:t>
      </w:r>
      <w:r>
        <w:rPr>
          <w:rFonts w:hint="eastAsia" w:ascii="Times New Roman" w:hAnsi="Times New Roman" w:eastAsia="仿宋_GB2312"/>
          <w:color w:val="auto"/>
          <w:spacing w:val="0"/>
          <w:sz w:val="32"/>
          <w:szCs w:val="32"/>
        </w:rPr>
        <w:t>医院药品“零差价”销售，全年</w:t>
      </w:r>
      <w:r>
        <w:rPr>
          <w:rFonts w:hint="eastAsia" w:ascii="Times New Roman" w:hAnsi="Times New Roman" w:eastAsia="仿宋_GB2312"/>
          <w:color w:val="auto"/>
          <w:spacing w:val="0"/>
          <w:sz w:val="32"/>
          <w:szCs w:val="32"/>
          <w:lang w:val="en-US" w:eastAsia="zh-CN"/>
        </w:rPr>
        <w:t>节约</w:t>
      </w:r>
      <w:r>
        <w:rPr>
          <w:rFonts w:hint="eastAsia" w:ascii="Times New Roman" w:hAnsi="Times New Roman" w:eastAsia="仿宋_GB2312"/>
          <w:color w:val="auto"/>
          <w:spacing w:val="0"/>
          <w:sz w:val="32"/>
          <w:szCs w:val="32"/>
        </w:rPr>
        <w:t>居民药品开支</w:t>
      </w:r>
      <w:r>
        <w:rPr>
          <w:rFonts w:hint="eastAsia" w:ascii="Times New Roman" w:hAnsi="Times New Roman" w:eastAsia="仿宋_GB2312"/>
          <w:color w:val="auto"/>
          <w:spacing w:val="-6"/>
          <w:sz w:val="32"/>
          <w:szCs w:val="32"/>
        </w:rPr>
        <w:t>2450</w:t>
      </w:r>
      <w:r>
        <w:rPr>
          <w:rFonts w:hint="eastAsia" w:ascii="Times New Roman" w:hAnsi="Times New Roman" w:eastAsia="仿宋_GB2312"/>
          <w:color w:val="auto"/>
          <w:spacing w:val="-6"/>
          <w:sz w:val="32"/>
          <w:szCs w:val="32"/>
          <w:lang w:val="en-US" w:eastAsia="zh-CN"/>
        </w:rPr>
        <w:t>余</w:t>
      </w:r>
      <w:r>
        <w:rPr>
          <w:rFonts w:hint="eastAsia" w:ascii="Times New Roman" w:hAnsi="Times New Roman" w:eastAsia="仿宋_GB2312"/>
          <w:color w:val="auto"/>
          <w:spacing w:val="-6"/>
          <w:sz w:val="32"/>
          <w:szCs w:val="32"/>
        </w:rPr>
        <w:t>万元</w:t>
      </w:r>
      <w:r>
        <w:rPr>
          <w:rFonts w:ascii="Times New Roman" w:hAnsi="Times New Roman" w:eastAsia="仿宋_GB2312"/>
          <w:color w:val="auto"/>
          <w:spacing w:val="-6"/>
          <w:sz w:val="32"/>
          <w:szCs w:val="32"/>
        </w:rPr>
        <w:t>，有效</w:t>
      </w:r>
      <w:r>
        <w:rPr>
          <w:rFonts w:hint="eastAsia" w:ascii="Times New Roman" w:hAnsi="Times New Roman" w:eastAsia="仿宋_GB2312"/>
          <w:color w:val="auto"/>
          <w:spacing w:val="-6"/>
          <w:sz w:val="32"/>
          <w:szCs w:val="32"/>
        </w:rPr>
        <w:t>减轻</w:t>
      </w:r>
      <w:r>
        <w:rPr>
          <w:rFonts w:ascii="Times New Roman" w:hAnsi="Times New Roman" w:eastAsia="仿宋_GB2312"/>
          <w:color w:val="auto"/>
          <w:spacing w:val="-6"/>
          <w:sz w:val="32"/>
          <w:szCs w:val="32"/>
        </w:rPr>
        <w:t>群众就医费用负担</w:t>
      </w:r>
      <w:r>
        <w:rPr>
          <w:rFonts w:hint="eastAsia" w:ascii="Times New Roman" w:hAnsi="Times New Roman" w:eastAsia="仿宋_GB2312"/>
          <w:color w:val="auto"/>
          <w:spacing w:val="-6"/>
          <w:sz w:val="32"/>
          <w:szCs w:val="32"/>
          <w:lang w:eastAsia="zh-CN"/>
        </w:rPr>
        <w:t>。</w:t>
      </w:r>
      <w:r>
        <w:rPr>
          <w:rFonts w:ascii="Times New Roman" w:hAnsi="Times New Roman" w:eastAsia="仿宋_GB2312"/>
          <w:spacing w:val="-6"/>
          <w:sz w:val="32"/>
          <w:szCs w:val="32"/>
        </w:rPr>
        <w:t>医改工作在国家卫健委体改司2023年医改评价中位列自治区第一</w:t>
      </w:r>
      <w:r>
        <w:rPr>
          <w:rFonts w:hint="eastAsia" w:ascii="Times New Roman" w:hAnsi="Times New Roman" w:eastAsia="仿宋_GB2312"/>
          <w:spacing w:val="-6"/>
          <w:sz w:val="32"/>
          <w:szCs w:val="32"/>
          <w:lang w:eastAsia="zh-CN"/>
        </w:rPr>
        <w:t>、中西部地区前列</w:t>
      </w:r>
      <w:r>
        <w:rPr>
          <w:rFonts w:hint="eastAsia" w:ascii="Times New Roman" w:hAnsi="Times New Roman" w:eastAsia="仿宋_GB2312"/>
          <w:spacing w:val="-6"/>
          <w:sz w:val="32"/>
          <w:szCs w:val="32"/>
        </w:rPr>
        <w:t>。</w:t>
      </w:r>
      <w:r>
        <w:rPr>
          <w:rFonts w:hint="eastAsia" w:ascii="Times New Roman" w:hAnsi="Times New Roman" w:eastAsia="仿宋_GB2312"/>
          <w:b w:val="0"/>
          <w:bCs w:val="0"/>
          <w:color w:val="auto"/>
          <w:spacing w:val="0"/>
          <w:sz w:val="32"/>
          <w:szCs w:val="32"/>
          <w:shd w:val="clear" w:color="auto" w:fill="FFFFFF"/>
          <w:lang w:val="en-US" w:eastAsia="zh-CN"/>
        </w:rPr>
        <w:t>三是</w:t>
      </w:r>
      <w:r>
        <w:rPr>
          <w:rFonts w:ascii="Times New Roman" w:hAnsi="Times New Roman" w:eastAsia="仿宋_GB2312"/>
          <w:b w:val="0"/>
          <w:bCs w:val="0"/>
          <w:color w:val="auto"/>
          <w:spacing w:val="0"/>
          <w:sz w:val="32"/>
          <w:szCs w:val="32"/>
        </w:rPr>
        <w:t>多渠道引进学科带头人28</w:t>
      </w:r>
      <w:r>
        <w:rPr>
          <w:rFonts w:hint="eastAsia" w:ascii="Times New Roman" w:hAnsi="Times New Roman" w:eastAsia="仿宋_GB2312"/>
          <w:b w:val="0"/>
          <w:bCs w:val="0"/>
          <w:color w:val="auto"/>
          <w:spacing w:val="0"/>
          <w:sz w:val="32"/>
          <w:szCs w:val="32"/>
        </w:rPr>
        <w:t>名</w:t>
      </w:r>
      <w:r>
        <w:rPr>
          <w:rFonts w:ascii="Times New Roman" w:hAnsi="Times New Roman" w:eastAsia="仿宋_GB2312"/>
          <w:b w:val="0"/>
          <w:bCs w:val="0"/>
          <w:color w:val="auto"/>
          <w:spacing w:val="0"/>
          <w:sz w:val="32"/>
          <w:szCs w:val="32"/>
        </w:rPr>
        <w:t>，研究生12</w:t>
      </w:r>
      <w:r>
        <w:rPr>
          <w:rFonts w:hint="eastAsia" w:ascii="Times New Roman" w:hAnsi="Times New Roman" w:eastAsia="仿宋_GB2312"/>
          <w:b w:val="0"/>
          <w:bCs w:val="0"/>
          <w:color w:val="auto"/>
          <w:spacing w:val="0"/>
          <w:sz w:val="32"/>
          <w:szCs w:val="32"/>
        </w:rPr>
        <w:t>8名</w:t>
      </w:r>
      <w:r>
        <w:rPr>
          <w:rFonts w:hint="eastAsia" w:ascii="Times New Roman" w:hAnsi="Times New Roman" w:eastAsia="仿宋_GB2312"/>
          <w:b w:val="0"/>
          <w:bCs w:val="0"/>
          <w:color w:val="auto"/>
          <w:spacing w:val="0"/>
          <w:sz w:val="32"/>
          <w:szCs w:val="32"/>
          <w:lang w:eastAsia="zh-CN"/>
        </w:rPr>
        <w:t>，</w:t>
      </w:r>
      <w:r>
        <w:rPr>
          <w:rFonts w:hint="eastAsia" w:ascii="Times New Roman" w:hAnsi="Times New Roman" w:eastAsia="仿宋_GB2312" w:cs="Times New Roman"/>
          <w:b w:val="0"/>
          <w:bCs w:val="0"/>
          <w:color w:val="auto"/>
          <w:spacing w:val="0"/>
          <w:sz w:val="32"/>
          <w:szCs w:val="32"/>
        </w:rPr>
        <w:t>申报</w:t>
      </w:r>
      <w:r>
        <w:rPr>
          <w:rFonts w:hint="eastAsia" w:ascii="Times New Roman" w:hAnsi="Times New Roman" w:eastAsia="仿宋_GB2312" w:cs="Times New Roman"/>
          <w:b w:val="0"/>
          <w:bCs w:val="0"/>
          <w:color w:val="auto"/>
          <w:spacing w:val="0"/>
          <w:sz w:val="32"/>
          <w:szCs w:val="32"/>
          <w:lang w:eastAsia="zh-CN"/>
        </w:rPr>
        <w:t>市级</w:t>
      </w:r>
      <w:r>
        <w:rPr>
          <w:rFonts w:hint="eastAsia" w:ascii="Times New Roman" w:hAnsi="Times New Roman" w:eastAsia="仿宋_GB2312" w:cs="Times New Roman"/>
          <w:b w:val="0"/>
          <w:bCs w:val="0"/>
          <w:color w:val="auto"/>
          <w:spacing w:val="0"/>
          <w:sz w:val="32"/>
          <w:szCs w:val="32"/>
        </w:rPr>
        <w:t>以上科研项目</w:t>
      </w:r>
      <w:r>
        <w:rPr>
          <w:rFonts w:hint="eastAsia" w:ascii="Times New Roman" w:hAnsi="Times New Roman" w:eastAsia="仿宋_GB2312" w:cs="Times New Roman"/>
          <w:b w:val="0"/>
          <w:bCs w:val="0"/>
          <w:color w:val="auto"/>
          <w:spacing w:val="0"/>
          <w:sz w:val="32"/>
          <w:szCs w:val="32"/>
          <w:lang w:val="en-US" w:eastAsia="zh-CN"/>
        </w:rPr>
        <w:t>79</w:t>
      </w:r>
      <w:r>
        <w:rPr>
          <w:rFonts w:hint="eastAsia" w:ascii="Times New Roman" w:hAnsi="Times New Roman" w:eastAsia="仿宋_GB2312" w:cs="Times New Roman"/>
          <w:b w:val="0"/>
          <w:bCs w:val="0"/>
          <w:color w:val="auto"/>
          <w:spacing w:val="0"/>
          <w:sz w:val="32"/>
          <w:szCs w:val="32"/>
        </w:rPr>
        <w:t>项，获批资金</w:t>
      </w:r>
      <w:r>
        <w:rPr>
          <w:rFonts w:hint="eastAsia" w:ascii="Times New Roman" w:hAnsi="Times New Roman" w:eastAsia="仿宋_GB2312" w:cs="Times New Roman"/>
          <w:b w:val="0"/>
          <w:bCs w:val="0"/>
          <w:color w:val="auto"/>
          <w:spacing w:val="0"/>
          <w:sz w:val="32"/>
          <w:szCs w:val="32"/>
          <w:lang w:val="en-US" w:eastAsia="zh-CN"/>
        </w:rPr>
        <w:t>714</w:t>
      </w:r>
      <w:r>
        <w:rPr>
          <w:rFonts w:hint="eastAsia" w:ascii="Times New Roman" w:hAnsi="Times New Roman" w:eastAsia="仿宋_GB2312" w:cs="Times New Roman"/>
          <w:b w:val="0"/>
          <w:bCs w:val="0"/>
          <w:color w:val="auto"/>
          <w:spacing w:val="0"/>
          <w:sz w:val="32"/>
          <w:szCs w:val="32"/>
        </w:rPr>
        <w:t>万元，</w:t>
      </w:r>
      <w:r>
        <w:rPr>
          <w:rFonts w:hint="eastAsia" w:ascii="Times New Roman" w:hAnsi="Times New Roman" w:eastAsia="仿宋_GB2312"/>
          <w:b w:val="0"/>
          <w:bCs w:val="0"/>
          <w:color w:val="auto"/>
          <w:spacing w:val="0"/>
          <w:sz w:val="32"/>
          <w:szCs w:val="32"/>
          <w:highlight w:val="none"/>
          <w:u w:val="none"/>
          <w:lang w:eastAsia="zh-CN"/>
        </w:rPr>
        <w:t>与</w:t>
      </w:r>
      <w:r>
        <w:rPr>
          <w:rFonts w:hint="eastAsia" w:ascii="Times New Roman" w:hAnsi="Times New Roman" w:eastAsia="仿宋_GB2312"/>
          <w:b w:val="0"/>
          <w:bCs w:val="0"/>
          <w:color w:val="auto"/>
          <w:spacing w:val="0"/>
          <w:sz w:val="32"/>
          <w:szCs w:val="32"/>
          <w:highlight w:val="none"/>
          <w:u w:val="none"/>
          <w:lang w:val="en-US" w:eastAsia="zh-CN"/>
        </w:rPr>
        <w:t>北京协和医院、北京东城区属医院、天津医科大学总医院、上海眼病防治中心等高水平医院开展协作</w:t>
      </w:r>
      <w:r>
        <w:rPr>
          <w:rFonts w:hint="eastAsia" w:ascii="Times New Roman" w:hAnsi="Times New Roman" w:eastAsia="仿宋_GB2312"/>
          <w:b w:val="0"/>
          <w:bCs w:val="0"/>
          <w:color w:val="auto"/>
          <w:spacing w:val="0"/>
          <w:sz w:val="32"/>
          <w:szCs w:val="32"/>
          <w:highlight w:val="none"/>
          <w:u w:val="none"/>
        </w:rPr>
        <w:t>，</w:t>
      </w:r>
      <w:r>
        <w:rPr>
          <w:rFonts w:hint="eastAsia" w:ascii="Times New Roman" w:hAnsi="Times New Roman" w:eastAsia="仿宋_GB2312"/>
          <w:b w:val="0"/>
          <w:bCs w:val="0"/>
          <w:color w:val="auto"/>
          <w:spacing w:val="0"/>
          <w:sz w:val="32"/>
          <w:szCs w:val="32"/>
          <w:highlight w:val="none"/>
          <w:u w:val="none"/>
          <w:lang w:val="en-US" w:eastAsia="zh-CN"/>
        </w:rPr>
        <w:t>促进</w:t>
      </w:r>
      <w:r>
        <w:rPr>
          <w:rFonts w:ascii="Times New Roman" w:hAnsi="Times New Roman" w:eastAsia="仿宋_GB2312"/>
          <w:b w:val="0"/>
          <w:bCs w:val="0"/>
          <w:color w:val="auto"/>
          <w:spacing w:val="0"/>
          <w:sz w:val="32"/>
          <w:szCs w:val="32"/>
          <w:highlight w:val="none"/>
          <w:u w:val="none"/>
        </w:rPr>
        <w:t>开展新项目新技术</w:t>
      </w:r>
      <w:r>
        <w:rPr>
          <w:rFonts w:hint="eastAsia" w:ascii="Times New Roman" w:hAnsi="Times New Roman" w:eastAsia="仿宋_GB2312"/>
          <w:b w:val="0"/>
          <w:bCs w:val="0"/>
          <w:color w:val="auto"/>
          <w:spacing w:val="0"/>
          <w:sz w:val="32"/>
          <w:szCs w:val="32"/>
          <w:highlight w:val="none"/>
          <w:u w:val="none"/>
          <w:lang w:val="en-US" w:eastAsia="zh-CN"/>
        </w:rPr>
        <w:t>87</w:t>
      </w:r>
      <w:r>
        <w:rPr>
          <w:rFonts w:ascii="Times New Roman" w:hAnsi="Times New Roman" w:eastAsia="仿宋_GB2312"/>
          <w:b w:val="0"/>
          <w:bCs w:val="0"/>
          <w:color w:val="auto"/>
          <w:spacing w:val="0"/>
          <w:sz w:val="32"/>
          <w:szCs w:val="32"/>
          <w:highlight w:val="none"/>
          <w:u w:val="none"/>
        </w:rPr>
        <w:t>项，</w:t>
      </w:r>
      <w:r>
        <w:rPr>
          <w:rFonts w:hint="eastAsia" w:ascii="Times New Roman" w:hAnsi="Times New Roman" w:eastAsia="仿宋_GB2312"/>
          <w:b w:val="0"/>
          <w:bCs w:val="0"/>
          <w:color w:val="auto"/>
          <w:spacing w:val="0"/>
          <w:sz w:val="32"/>
          <w:szCs w:val="32"/>
          <w:highlight w:val="none"/>
          <w:u w:val="none"/>
          <w:lang w:eastAsia="zh-CN"/>
        </w:rPr>
        <w:t>三</w:t>
      </w:r>
      <w:r>
        <w:rPr>
          <w:rFonts w:ascii="Times New Roman" w:hAnsi="Times New Roman" w:eastAsia="仿宋_GB2312"/>
          <w:b w:val="0"/>
          <w:bCs w:val="0"/>
          <w:color w:val="auto"/>
          <w:spacing w:val="0"/>
          <w:sz w:val="32"/>
          <w:szCs w:val="32"/>
          <w:highlight w:val="none"/>
          <w:u w:val="none"/>
        </w:rPr>
        <w:t>四级手术</w:t>
      </w:r>
      <w:r>
        <w:rPr>
          <w:rFonts w:hint="eastAsia" w:ascii="Times New Roman" w:hAnsi="Times New Roman" w:eastAsia="仿宋_GB2312"/>
          <w:b w:val="0"/>
          <w:bCs w:val="0"/>
          <w:color w:val="auto"/>
          <w:spacing w:val="0"/>
          <w:sz w:val="32"/>
          <w:szCs w:val="32"/>
          <w:highlight w:val="none"/>
          <w:u w:val="none"/>
          <w:lang w:val="en-US" w:eastAsia="zh-CN"/>
        </w:rPr>
        <w:t>13067</w:t>
      </w:r>
      <w:r>
        <w:rPr>
          <w:rFonts w:ascii="Times New Roman" w:hAnsi="Times New Roman" w:eastAsia="仿宋_GB2312"/>
          <w:b w:val="0"/>
          <w:bCs w:val="0"/>
          <w:color w:val="auto"/>
          <w:spacing w:val="0"/>
          <w:sz w:val="32"/>
          <w:szCs w:val="32"/>
          <w:highlight w:val="none"/>
          <w:u w:val="none"/>
        </w:rPr>
        <w:t>台，</w:t>
      </w:r>
      <w:r>
        <w:rPr>
          <w:rFonts w:hint="eastAsia" w:ascii="Times New Roman" w:hAnsi="Times New Roman" w:eastAsia="仿宋_GB2312"/>
          <w:b w:val="0"/>
          <w:bCs w:val="0"/>
          <w:color w:val="auto"/>
          <w:spacing w:val="0"/>
          <w:sz w:val="32"/>
          <w:szCs w:val="32"/>
          <w:highlight w:val="none"/>
          <w:u w:val="none"/>
        </w:rPr>
        <w:t>同比</w:t>
      </w:r>
      <w:r>
        <w:rPr>
          <w:rFonts w:ascii="Times New Roman" w:hAnsi="Times New Roman" w:eastAsia="仿宋_GB2312"/>
          <w:b w:val="0"/>
          <w:bCs w:val="0"/>
          <w:color w:val="auto"/>
          <w:spacing w:val="0"/>
          <w:sz w:val="32"/>
          <w:szCs w:val="32"/>
          <w:highlight w:val="none"/>
          <w:u w:val="none"/>
        </w:rPr>
        <w:t>增加</w:t>
      </w:r>
      <w:r>
        <w:rPr>
          <w:rFonts w:hint="eastAsia" w:ascii="Times New Roman" w:hAnsi="Times New Roman" w:eastAsia="仿宋_GB2312"/>
          <w:b w:val="0"/>
          <w:bCs w:val="0"/>
          <w:color w:val="auto"/>
          <w:spacing w:val="0"/>
          <w:sz w:val="32"/>
          <w:szCs w:val="32"/>
          <w:highlight w:val="none"/>
          <w:u w:val="none"/>
          <w:lang w:val="en-US" w:eastAsia="zh-CN"/>
        </w:rPr>
        <w:t>5.2</w:t>
      </w:r>
      <w:r>
        <w:rPr>
          <w:rFonts w:ascii="Times New Roman" w:hAnsi="Times New Roman" w:eastAsia="仿宋_GB2312"/>
          <w:b w:val="0"/>
          <w:bCs w:val="0"/>
          <w:color w:val="auto"/>
          <w:spacing w:val="0"/>
          <w:sz w:val="32"/>
          <w:szCs w:val="32"/>
          <w:highlight w:val="none"/>
          <w:u w:val="none"/>
        </w:rPr>
        <w:t>%</w:t>
      </w:r>
      <w:r>
        <w:rPr>
          <w:rFonts w:hint="eastAsia" w:ascii="Times New Roman" w:hAnsi="Times New Roman" w:eastAsia="仿宋_GB2312"/>
          <w:b w:val="0"/>
          <w:bCs w:val="0"/>
          <w:color w:val="auto"/>
          <w:spacing w:val="0"/>
          <w:sz w:val="32"/>
          <w:szCs w:val="32"/>
          <w:highlight w:val="none"/>
          <w:u w:val="none"/>
        </w:rPr>
        <w:t>。</w:t>
      </w:r>
    </w:p>
    <w:p w14:paraId="503A95E5">
      <w:pPr>
        <w:pStyle w:val="16"/>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方正楷体_GBK"/>
          <w:color w:val="auto"/>
          <w:spacing w:val="0"/>
          <w:sz w:val="32"/>
          <w:szCs w:val="32"/>
          <w:lang w:eastAsia="zh-CN"/>
        </w:rPr>
      </w:pPr>
      <w:r>
        <w:rPr>
          <w:rFonts w:hint="eastAsia" w:ascii="Times New Roman" w:hAnsi="Times New Roman" w:eastAsia="楷体_GB2312" w:cs="方正楷体_GBK"/>
          <w:color w:val="auto"/>
          <w:spacing w:val="0"/>
          <w:sz w:val="32"/>
          <w:szCs w:val="32"/>
        </w:rPr>
        <w:t>（</w:t>
      </w:r>
      <w:r>
        <w:rPr>
          <w:rFonts w:hint="eastAsia" w:ascii="Times New Roman" w:hAnsi="Times New Roman" w:eastAsia="楷体_GB2312" w:cs="方正楷体_GBK"/>
          <w:color w:val="auto"/>
          <w:spacing w:val="0"/>
          <w:sz w:val="32"/>
          <w:szCs w:val="32"/>
          <w:lang w:val="en-US" w:eastAsia="zh-CN"/>
        </w:rPr>
        <w:t>三</w:t>
      </w:r>
      <w:r>
        <w:rPr>
          <w:rFonts w:hint="eastAsia" w:ascii="Times New Roman" w:hAnsi="Times New Roman" w:eastAsia="楷体_GB2312" w:cs="方正楷体_GBK"/>
          <w:color w:val="auto"/>
          <w:spacing w:val="0"/>
          <w:sz w:val="32"/>
          <w:szCs w:val="32"/>
        </w:rPr>
        <w:t>）</w:t>
      </w:r>
      <w:r>
        <w:rPr>
          <w:rFonts w:hint="default" w:ascii="Times New Roman" w:hAnsi="Times New Roman" w:eastAsia="楷体_GB2312" w:cs="方正楷体_GBK"/>
          <w:color w:val="auto"/>
          <w:spacing w:val="0"/>
          <w:sz w:val="32"/>
          <w:szCs w:val="32"/>
          <w:lang w:eastAsia="zh-CN"/>
        </w:rPr>
        <w:t>中医药（蒙医药）</w:t>
      </w:r>
      <w:r>
        <w:rPr>
          <w:rFonts w:hint="eastAsia" w:ascii="Times New Roman" w:hAnsi="Times New Roman" w:eastAsia="楷体_GB2312" w:cs="方正楷体_GBK"/>
          <w:color w:val="auto"/>
          <w:spacing w:val="0"/>
          <w:sz w:val="32"/>
          <w:szCs w:val="32"/>
          <w:lang w:val="en-US" w:eastAsia="zh-CN"/>
        </w:rPr>
        <w:t>和人口工作两项</w:t>
      </w:r>
      <w:r>
        <w:rPr>
          <w:rFonts w:hint="default" w:ascii="Times New Roman" w:hAnsi="Times New Roman" w:eastAsia="楷体_GB2312" w:cs="方正楷体_GBK"/>
          <w:color w:val="auto"/>
          <w:spacing w:val="0"/>
          <w:sz w:val="32"/>
          <w:szCs w:val="32"/>
          <w:lang w:eastAsia="zh-CN"/>
        </w:rPr>
        <w:t>事业</w:t>
      </w:r>
      <w:r>
        <w:rPr>
          <w:rFonts w:hint="eastAsia" w:ascii="Times New Roman" w:hAnsi="Times New Roman" w:eastAsia="楷体_GB2312" w:cs="方正楷体_GBK"/>
          <w:color w:val="auto"/>
          <w:spacing w:val="0"/>
          <w:sz w:val="32"/>
          <w:szCs w:val="32"/>
          <w:lang w:val="en-US" w:eastAsia="zh-CN"/>
        </w:rPr>
        <w:t>发展步伐加快</w:t>
      </w:r>
    </w:p>
    <w:p w14:paraId="223497F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仿宋_GB2312"/>
          <w:b w:val="0"/>
          <w:bCs w:val="0"/>
          <w:color w:val="auto"/>
          <w:spacing w:val="0"/>
          <w:sz w:val="32"/>
          <w:szCs w:val="32"/>
          <w:lang w:val="en-US" w:eastAsia="zh-CN"/>
        </w:rPr>
      </w:pPr>
      <w:r>
        <w:rPr>
          <w:rFonts w:hint="eastAsia" w:ascii="Times New Roman" w:hAnsi="Times New Roman" w:eastAsia="仿宋_GB2312" w:cs="Times New Roman"/>
          <w:b w:val="0"/>
          <w:bCs w:val="0"/>
          <w:color w:val="auto"/>
          <w:spacing w:val="0"/>
          <w:sz w:val="32"/>
          <w:szCs w:val="32"/>
          <w:lang w:val="en-US" w:eastAsia="zh-CN"/>
        </w:rPr>
        <w:t>一是</w:t>
      </w:r>
      <w:r>
        <w:rPr>
          <w:rFonts w:hint="default" w:ascii="Times New Roman" w:hAnsi="Times New Roman" w:eastAsia="仿宋_GB2312" w:cs="Times New Roman"/>
          <w:b w:val="0"/>
          <w:bCs w:val="0"/>
          <w:color w:val="auto"/>
          <w:spacing w:val="0"/>
          <w:sz w:val="32"/>
          <w:szCs w:val="32"/>
          <w:lang w:val="en-US" w:eastAsia="zh-CN"/>
        </w:rPr>
        <w:t>中医药（蒙医药）</w:t>
      </w:r>
      <w:r>
        <w:rPr>
          <w:rFonts w:hint="eastAsia" w:ascii="Times New Roman" w:hAnsi="Times New Roman" w:eastAsia="仿宋_GB2312" w:cs="Times New Roman"/>
          <w:b w:val="0"/>
          <w:bCs w:val="0"/>
          <w:color w:val="auto"/>
          <w:spacing w:val="0"/>
          <w:sz w:val="32"/>
          <w:szCs w:val="32"/>
          <w:lang w:val="en-US" w:eastAsia="zh-CN"/>
        </w:rPr>
        <w:t>特色优势不断凸显。</w:t>
      </w:r>
      <w:r>
        <w:rPr>
          <w:rFonts w:hint="eastAsia" w:ascii="Times New Roman" w:hAnsi="Times New Roman" w:eastAsia="仿宋_GB2312"/>
          <w:b w:val="0"/>
          <w:bCs w:val="0"/>
          <w:color w:val="auto"/>
          <w:spacing w:val="0"/>
          <w:sz w:val="32"/>
          <w:szCs w:val="32"/>
          <w:lang w:val="en-US" w:eastAsia="zh-CN"/>
        </w:rPr>
        <w:t>二是人口高质量发展能力持续增强。</w:t>
      </w:r>
    </w:p>
    <w:p w14:paraId="7BA41AD7">
      <w:pPr>
        <w:pStyle w:val="16"/>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方正楷体_GBK"/>
          <w:color w:val="auto"/>
          <w:spacing w:val="0"/>
          <w:sz w:val="32"/>
          <w:szCs w:val="32"/>
          <w:lang w:eastAsia="zh-CN"/>
        </w:rPr>
      </w:pPr>
      <w:r>
        <w:rPr>
          <w:rFonts w:hint="eastAsia" w:ascii="Times New Roman" w:hAnsi="Times New Roman" w:eastAsia="楷体_GB2312" w:cs="方正楷体_GBK"/>
          <w:color w:val="auto"/>
          <w:spacing w:val="0"/>
          <w:sz w:val="32"/>
          <w:szCs w:val="32"/>
        </w:rPr>
        <w:t>（</w:t>
      </w:r>
      <w:r>
        <w:rPr>
          <w:rFonts w:hint="eastAsia" w:ascii="Times New Roman" w:hAnsi="Times New Roman" w:eastAsia="楷体_GB2312" w:cs="方正楷体_GBK"/>
          <w:color w:val="auto"/>
          <w:spacing w:val="0"/>
          <w:sz w:val="32"/>
          <w:szCs w:val="32"/>
          <w:lang w:val="en-US" w:eastAsia="zh-CN"/>
        </w:rPr>
        <w:t>四</w:t>
      </w:r>
      <w:r>
        <w:rPr>
          <w:rFonts w:hint="eastAsia" w:ascii="Times New Roman" w:hAnsi="Times New Roman" w:eastAsia="楷体_GB2312" w:cs="方正楷体_GBK"/>
          <w:color w:val="auto"/>
          <w:spacing w:val="0"/>
          <w:sz w:val="32"/>
          <w:szCs w:val="32"/>
        </w:rPr>
        <w:t>）公共卫生服务</w:t>
      </w:r>
      <w:r>
        <w:rPr>
          <w:rFonts w:hint="eastAsia" w:ascii="Times New Roman" w:hAnsi="Times New Roman" w:eastAsia="楷体_GB2312" w:cs="方正楷体_GBK"/>
          <w:color w:val="auto"/>
          <w:spacing w:val="0"/>
          <w:sz w:val="32"/>
          <w:szCs w:val="32"/>
          <w:lang w:eastAsia="zh-CN"/>
        </w:rPr>
        <w:t>水平得到全面提升</w:t>
      </w:r>
    </w:p>
    <w:p w14:paraId="40FB5D55">
      <w:pPr>
        <w:pStyle w:val="18"/>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b w:val="0"/>
          <w:bCs w:val="0"/>
          <w:color w:val="auto"/>
          <w:spacing w:val="0"/>
          <w:kern w:val="2"/>
          <w:sz w:val="32"/>
          <w:szCs w:val="32"/>
          <w:lang w:val="en-US" w:eastAsia="zh-CN" w:bidi="ar-SA"/>
        </w:rPr>
      </w:pPr>
      <w:r>
        <w:rPr>
          <w:rFonts w:hint="eastAsia" w:ascii="Times New Roman" w:hAnsi="Times New Roman" w:eastAsia="仿宋_GB2312"/>
          <w:b w:val="0"/>
          <w:bCs w:val="0"/>
          <w:color w:val="auto"/>
          <w:spacing w:val="0"/>
          <w:sz w:val="32"/>
          <w:lang w:val="en-US" w:eastAsia="zh-CN"/>
        </w:rPr>
        <w:t>一是</w:t>
      </w:r>
      <w:r>
        <w:rPr>
          <w:rFonts w:ascii="Times New Roman" w:hAnsi="Times New Roman" w:eastAsia="仿宋_GB2312"/>
          <w:b w:val="0"/>
          <w:bCs w:val="0"/>
          <w:color w:val="auto"/>
          <w:spacing w:val="0"/>
          <w:sz w:val="32"/>
        </w:rPr>
        <w:t>健全</w:t>
      </w:r>
      <w:r>
        <w:rPr>
          <w:rFonts w:hint="eastAsia" w:ascii="Times New Roman" w:hAnsi="Times New Roman" w:eastAsia="仿宋_GB2312"/>
          <w:b w:val="0"/>
          <w:bCs w:val="0"/>
          <w:color w:val="auto"/>
          <w:spacing w:val="0"/>
          <w:sz w:val="32"/>
          <w:lang w:eastAsia="zh-CN"/>
        </w:rPr>
        <w:t>公共卫生</w:t>
      </w:r>
      <w:r>
        <w:rPr>
          <w:rFonts w:ascii="Times New Roman" w:hAnsi="Times New Roman" w:eastAsia="仿宋_GB2312"/>
          <w:b w:val="0"/>
          <w:bCs w:val="0"/>
          <w:color w:val="auto"/>
          <w:spacing w:val="0"/>
          <w:sz w:val="32"/>
        </w:rPr>
        <w:t>体系</w:t>
      </w:r>
      <w:r>
        <w:rPr>
          <w:rFonts w:hint="eastAsia" w:ascii="Times New Roman" w:hAnsi="Times New Roman" w:eastAsia="仿宋_GB2312"/>
          <w:b w:val="0"/>
          <w:bCs w:val="0"/>
          <w:color w:val="auto"/>
          <w:spacing w:val="0"/>
          <w:sz w:val="32"/>
        </w:rPr>
        <w:t>强化</w:t>
      </w:r>
      <w:r>
        <w:rPr>
          <w:rFonts w:ascii="Times New Roman" w:hAnsi="Times New Roman" w:eastAsia="仿宋_GB2312"/>
          <w:b w:val="0"/>
          <w:bCs w:val="0"/>
          <w:color w:val="auto"/>
          <w:spacing w:val="0"/>
          <w:sz w:val="32"/>
        </w:rPr>
        <w:t>传染病应对能力。</w:t>
      </w:r>
      <w:r>
        <w:rPr>
          <w:rFonts w:hint="eastAsia" w:ascii="Times New Roman" w:hAnsi="Times New Roman" w:eastAsia="仿宋_GB2312"/>
          <w:b w:val="0"/>
          <w:bCs w:val="0"/>
          <w:color w:val="auto"/>
          <w:spacing w:val="0"/>
          <w:sz w:val="32"/>
          <w:szCs w:val="32"/>
          <w:lang w:val="en-US" w:eastAsia="zh-CN"/>
        </w:rPr>
        <w:t>二是</w:t>
      </w:r>
      <w:r>
        <w:rPr>
          <w:rFonts w:hint="eastAsia" w:ascii="Times New Roman" w:hAnsi="Times New Roman" w:eastAsia="仿宋_GB2312"/>
          <w:b w:val="0"/>
          <w:bCs w:val="0"/>
          <w:color w:val="auto"/>
          <w:spacing w:val="0"/>
          <w:sz w:val="32"/>
          <w:szCs w:val="32"/>
        </w:rPr>
        <w:t>建设“一刻钟医疗圈”</w:t>
      </w:r>
      <w:r>
        <w:rPr>
          <w:rFonts w:hint="eastAsia" w:ascii="Times New Roman" w:hAnsi="Times New Roman" w:eastAsia="仿宋_GB2312"/>
          <w:b w:val="0"/>
          <w:bCs w:val="0"/>
          <w:color w:val="auto"/>
          <w:spacing w:val="0"/>
          <w:sz w:val="32"/>
          <w:szCs w:val="32"/>
          <w:lang w:eastAsia="zh-CN"/>
        </w:rPr>
        <w:t>强化</w:t>
      </w:r>
      <w:r>
        <w:rPr>
          <w:rFonts w:hint="eastAsia" w:ascii="Times New Roman" w:hAnsi="Times New Roman" w:eastAsia="仿宋_GB2312"/>
          <w:b w:val="0"/>
          <w:bCs w:val="0"/>
          <w:color w:val="auto"/>
          <w:spacing w:val="0"/>
          <w:sz w:val="32"/>
          <w:szCs w:val="32"/>
        </w:rPr>
        <w:t>基层服务能力。</w:t>
      </w:r>
      <w:r>
        <w:rPr>
          <w:rFonts w:hint="eastAsia" w:ascii="Times New Roman" w:hAnsi="Times New Roman" w:eastAsia="仿宋_GB2312" w:cs="Times New Roman"/>
          <w:b w:val="0"/>
          <w:bCs w:val="0"/>
          <w:color w:val="auto"/>
          <w:spacing w:val="0"/>
          <w:kern w:val="2"/>
          <w:sz w:val="32"/>
          <w:szCs w:val="32"/>
          <w:lang w:val="en-US" w:eastAsia="zh-CN" w:bidi="ar-SA"/>
        </w:rPr>
        <w:t>三是持续固本强基强化医疗保障服务能力。</w:t>
      </w:r>
    </w:p>
    <w:p w14:paraId="08C49618">
      <w:pPr>
        <w:pStyle w:val="16"/>
        <w:keepNext w:val="0"/>
        <w:keepLines w:val="0"/>
        <w:pageBreakBefore w:val="0"/>
        <w:widowControl w:val="0"/>
        <w:numPr>
          <w:ilvl w:val="0"/>
          <w:numId w:val="1"/>
        </w:numPr>
        <w:kinsoku/>
        <w:wordWrap/>
        <w:overflowPunct w:val="0"/>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方正楷体_GBK"/>
          <w:color w:val="auto"/>
          <w:spacing w:val="0"/>
          <w:sz w:val="32"/>
          <w:szCs w:val="32"/>
          <w:lang w:eastAsia="zh-CN"/>
        </w:rPr>
      </w:pPr>
      <w:r>
        <w:rPr>
          <w:rFonts w:hint="eastAsia" w:ascii="Times New Roman" w:hAnsi="Times New Roman" w:eastAsia="楷体_GB2312" w:cs="方正楷体_GBK"/>
          <w:color w:val="auto"/>
          <w:spacing w:val="0"/>
          <w:sz w:val="32"/>
          <w:szCs w:val="32"/>
          <w:lang w:eastAsia="zh-CN"/>
        </w:rPr>
        <w:t>上年度考核反馈问题的整改情况</w:t>
      </w:r>
    </w:p>
    <w:p w14:paraId="13DE41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eastAsia="Times New Roman"/>
          <w:kern w:val="0"/>
          <w:sz w:val="24"/>
        </w:rPr>
      </w:pPr>
      <w:r>
        <w:rPr>
          <w:rFonts w:hint="eastAsia" w:ascii="Times New Roman" w:hAnsi="Times New Roman" w:eastAsia="仿宋_GB2312" w:cs="Times New Roman"/>
          <w:spacing w:val="0"/>
          <w:sz w:val="32"/>
          <w:szCs w:val="32"/>
          <w:lang w:val="en-US" w:eastAsia="zh-CN"/>
        </w:rPr>
        <w:t>2023</w:t>
      </w:r>
      <w:r>
        <w:rPr>
          <w:rFonts w:hint="default" w:ascii="Times New Roman" w:hAnsi="Times New Roman" w:eastAsia="仿宋_GB2312" w:cs="Times New Roman"/>
          <w:spacing w:val="0"/>
          <w:sz w:val="32"/>
          <w:szCs w:val="32"/>
          <w:lang w:eastAsia="zh-CN"/>
        </w:rPr>
        <w:t>年度绩效考核</w:t>
      </w:r>
      <w:r>
        <w:rPr>
          <w:rFonts w:hint="eastAsia" w:ascii="Times New Roman" w:hAnsi="Times New Roman" w:eastAsia="仿宋_GB2312" w:cs="Times New Roman"/>
          <w:spacing w:val="0"/>
          <w:sz w:val="32"/>
          <w:szCs w:val="32"/>
          <w:lang w:eastAsia="zh-CN"/>
        </w:rPr>
        <w:t>中提出卫健系统存在因私出国管理不规范，</w:t>
      </w:r>
      <w:r>
        <w:rPr>
          <w:rFonts w:hint="default" w:ascii="Times New Roman" w:hAnsi="Times New Roman" w:eastAsia="仿宋_GB2312" w:cs="Times New Roman"/>
          <w:spacing w:val="0"/>
          <w:sz w:val="32"/>
          <w:szCs w:val="32"/>
          <w:lang w:eastAsia="zh-CN"/>
        </w:rPr>
        <w:t>人才引育留政策吸引力不强</w:t>
      </w:r>
      <w:r>
        <w:rPr>
          <w:rFonts w:hint="eastAsia"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提升医疗卫生水平、提高群众就医满意度方面成效不明显</w:t>
      </w:r>
      <w:r>
        <w:rPr>
          <w:rFonts w:hint="eastAsia" w:ascii="Times New Roman" w:hAnsi="Times New Roman" w:eastAsia="仿宋_GB2312" w:cs="Times New Roman"/>
          <w:spacing w:val="0"/>
          <w:sz w:val="32"/>
          <w:szCs w:val="32"/>
          <w:lang w:eastAsia="zh-CN"/>
        </w:rPr>
        <w:t>等</w:t>
      </w:r>
      <w:r>
        <w:rPr>
          <w:rFonts w:hint="eastAsia" w:ascii="Times New Roman" w:hAnsi="Times New Roman" w:eastAsia="仿宋_GB2312" w:cs="Times New Roman"/>
          <w:spacing w:val="0"/>
          <w:sz w:val="32"/>
          <w:szCs w:val="32"/>
          <w:lang w:val="en-US" w:eastAsia="zh-CN"/>
        </w:rPr>
        <w:t>15方面不足，市卫健委通过建章立制强化出入境备案管理，出台人才引进激励机制、多次赴外开展校园招聘和成功争取国家重点专科和自治区专病诊疗中心等方式将反馈问题全部进行整改并持续巩固加强。</w:t>
      </w:r>
    </w:p>
    <w:p w14:paraId="77890F1E">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第二部分 单位决算情况说明</w:t>
      </w:r>
    </w:p>
    <w:p w14:paraId="785DCE0B">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一、收入支出决算总体情况说明</w:t>
      </w:r>
    </w:p>
    <w:p w14:paraId="514D3859">
      <w:pPr>
        <w:widowControl/>
        <w:spacing w:before="240" w:after="240"/>
        <w:rPr>
          <w:rFonts w:hint="eastAsia" w:ascii="仿宋_GB2312" w:hAnsi="仿宋_GB2312" w:eastAsia="仿宋_GB2312" w:cs="仿宋_GB2312"/>
          <w:color w:val="000000"/>
          <w:sz w:val="32"/>
          <w:szCs w:val="24"/>
          <w:lang w:eastAsia="zh-CN"/>
        </w:rPr>
      </w:pPr>
      <w:r>
        <w:rPr>
          <w:rFonts w:ascii="仿宋_GB2312" w:hAnsi="仿宋_GB2312" w:eastAsia="仿宋_GB2312" w:cs="仿宋_GB2312"/>
          <w:kern w:val="0"/>
          <w:sz w:val="27"/>
          <w:szCs w:val="27"/>
        </w:rPr>
        <w:t>   </w:t>
      </w:r>
      <w:r>
        <w:rPr>
          <w:rFonts w:hint="eastAsia" w:ascii="仿宋_GB2312" w:hAnsi="仿宋_GB2312" w:eastAsia="仿宋_GB2312" w:cs="仿宋_GB2312"/>
          <w:color w:val="000000"/>
          <w:sz w:val="32"/>
          <w:szCs w:val="24"/>
          <w:lang w:eastAsia="zh-CN"/>
        </w:rPr>
        <w:t> 乌海市卫生健康委员会（本级） 2024年度收入、支出决算总计均为 2837.78万元。与年初预算相比，</w:t>
      </w:r>
      <w:r>
        <w:rPr>
          <w:rFonts w:hint="eastAsia" w:ascii="仿宋_GB2312" w:hAnsi="仿宋_GB2312" w:eastAsia="仿宋_GB2312" w:cs="仿宋_GB2312"/>
          <w:color w:val="000000"/>
          <w:sz w:val="32"/>
          <w:szCs w:val="24"/>
          <w:highlight w:val="none"/>
          <w:lang w:eastAsia="zh-CN"/>
        </w:rPr>
        <w:t>收、支总计各减少58.04万元，下降2.00%，变动原因：</w:t>
      </w:r>
      <w:r>
        <w:rPr>
          <w:rFonts w:hint="eastAsia" w:ascii="仿宋_GB2312" w:hAnsi="仿宋_GB2312" w:eastAsia="仿宋_GB2312" w:cs="仿宋_GB2312"/>
          <w:color w:val="000000"/>
          <w:sz w:val="32"/>
          <w:szCs w:val="24"/>
          <w:highlight w:val="none"/>
          <w:lang w:val="en-US" w:eastAsia="zh-CN"/>
        </w:rPr>
        <w:t>年初预算数字包含上年结转结余，我单位还有结转结余未支出</w:t>
      </w:r>
      <w:r>
        <w:rPr>
          <w:rFonts w:hint="eastAsia" w:ascii="仿宋_GB2312" w:hAnsi="仿宋_GB2312" w:eastAsia="仿宋_GB2312" w:cs="仿宋_GB2312"/>
          <w:color w:val="000000"/>
          <w:sz w:val="32"/>
          <w:szCs w:val="24"/>
          <w:highlight w:val="none"/>
          <w:lang w:eastAsia="zh-CN"/>
        </w:rPr>
        <w:t>；</w:t>
      </w:r>
      <w:r>
        <w:rPr>
          <w:rFonts w:hint="eastAsia" w:ascii="仿宋_GB2312" w:hAnsi="仿宋_GB2312" w:eastAsia="仿宋_GB2312" w:cs="仿宋_GB2312"/>
          <w:color w:val="000000"/>
          <w:sz w:val="32"/>
          <w:szCs w:val="24"/>
          <w:lang w:eastAsia="zh-CN"/>
        </w:rPr>
        <w:t>与上年决算相比，收、支总计各减少3645.42万元，下降56.23%。其中：</w:t>
      </w:r>
    </w:p>
    <w:p w14:paraId="6A65F47C">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w:t>
      </w:r>
      <w:r>
        <w:rPr>
          <w:rFonts w:hint="eastAsia" w:ascii="楷体" w:hAnsi="楷体" w:eastAsia="楷体" w:cs="楷体"/>
          <w:b/>
          <w:bCs/>
          <w:color w:val="000000"/>
          <w:kern w:val="0"/>
          <w:sz w:val="32"/>
          <w:szCs w:val="32"/>
        </w:rPr>
        <w:t xml:space="preserve"> （一）收入决算总计</w:t>
      </w:r>
      <w:r>
        <w:rPr>
          <w:rFonts w:hint="eastAsia" w:ascii="楷体" w:hAnsi="楷体" w:eastAsia="楷体" w:cs="楷体"/>
          <w:b/>
          <w:bCs/>
          <w:color w:val="000000"/>
          <w:kern w:val="0"/>
          <w:sz w:val="32"/>
          <w:szCs w:val="32"/>
          <w:u w:val="none" w:color="auto"/>
        </w:rPr>
        <w:t> 2837.78万元</w:t>
      </w:r>
      <w:r>
        <w:rPr>
          <w:rFonts w:hint="eastAsia" w:ascii="楷体" w:hAnsi="楷体" w:eastAsia="楷体" w:cs="楷体"/>
          <w:b/>
          <w:bCs/>
          <w:color w:val="000000"/>
          <w:kern w:val="0"/>
          <w:sz w:val="32"/>
          <w:szCs w:val="32"/>
        </w:rPr>
        <w:t>。包括：</w:t>
      </w:r>
    </w:p>
    <w:p w14:paraId="47690A2F">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1.本年收入决算合计 2837.78万元。与上年决算相比，减少3419.99万元，下降54.65%，变动原因：</w:t>
      </w:r>
      <w:r>
        <w:rPr>
          <w:rFonts w:hint="eastAsia" w:ascii="仿宋_GB2312" w:hAnsi="仿宋_GB2312" w:eastAsia="仿宋_GB2312" w:cs="仿宋_GB2312"/>
          <w:color w:val="000000"/>
          <w:sz w:val="32"/>
          <w:szCs w:val="24"/>
          <w:lang w:val="en-US" w:eastAsia="zh-CN"/>
        </w:rPr>
        <w:t>2023年我单位收到上级拨六家公立医院设备紧急采购经费</w:t>
      </w:r>
      <w:r>
        <w:rPr>
          <w:rFonts w:hint="eastAsia" w:ascii="仿宋_GB2312" w:hAnsi="仿宋_GB2312" w:eastAsia="仿宋_GB2312" w:cs="仿宋_GB2312"/>
          <w:color w:val="000000"/>
          <w:sz w:val="32"/>
          <w:szCs w:val="24"/>
          <w:lang w:eastAsia="zh-CN"/>
        </w:rPr>
        <w:t>。</w:t>
      </w:r>
    </w:p>
    <w:p w14:paraId="01AA1821">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2.使用非财政拨款结余（含专用结余） 0万元。与上年决算相比，增加 0万元，增长0%，变动原因：</w:t>
      </w:r>
      <w:r>
        <w:rPr>
          <w:rFonts w:hint="eastAsia" w:ascii="仿宋_GB2312" w:hAnsi="仿宋_GB2312" w:eastAsia="仿宋_GB2312" w:cs="仿宋_GB2312"/>
          <w:color w:val="000000"/>
          <w:sz w:val="32"/>
          <w:szCs w:val="24"/>
          <w:lang w:val="en-US" w:eastAsia="zh-CN"/>
        </w:rPr>
        <w:t>我单位不存在此项内容</w:t>
      </w:r>
      <w:r>
        <w:rPr>
          <w:rFonts w:hint="eastAsia" w:ascii="仿宋_GB2312" w:hAnsi="仿宋_GB2312" w:eastAsia="仿宋_GB2312" w:cs="仿宋_GB2312"/>
          <w:color w:val="000000"/>
          <w:sz w:val="32"/>
          <w:szCs w:val="24"/>
          <w:lang w:eastAsia="zh-CN"/>
        </w:rPr>
        <w:t>。</w:t>
      </w:r>
    </w:p>
    <w:p w14:paraId="6F9D6636">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highlight w:val="none"/>
          <w:lang w:eastAsia="zh-CN"/>
        </w:rPr>
      </w:pPr>
      <w:r>
        <w:rPr>
          <w:rFonts w:hint="eastAsia" w:ascii="仿宋_GB2312" w:hAnsi="仿宋_GB2312" w:eastAsia="仿宋_GB2312" w:cs="仿宋_GB2312"/>
          <w:color w:val="000000"/>
          <w:sz w:val="32"/>
          <w:szCs w:val="24"/>
          <w:lang w:eastAsia="zh-CN"/>
        </w:rPr>
        <w:t>    3.年初结转和结余 0万元。与上年决算相比</w:t>
      </w:r>
      <w:r>
        <w:rPr>
          <w:rFonts w:hint="eastAsia" w:ascii="仿宋_GB2312" w:hAnsi="仿宋_GB2312" w:eastAsia="仿宋_GB2312" w:cs="仿宋_GB2312"/>
          <w:color w:val="000000"/>
          <w:sz w:val="32"/>
          <w:szCs w:val="24"/>
          <w:highlight w:val="none"/>
          <w:lang w:eastAsia="zh-CN"/>
        </w:rPr>
        <w:t>，减少225.43万元，下降100.00%，变动原因：</w:t>
      </w:r>
      <w:r>
        <w:rPr>
          <w:rFonts w:hint="eastAsia" w:ascii="仿宋_GB2312" w:hAnsi="仿宋_GB2312" w:eastAsia="仿宋_GB2312" w:cs="仿宋_GB2312"/>
          <w:color w:val="000000"/>
          <w:sz w:val="32"/>
          <w:szCs w:val="24"/>
          <w:highlight w:val="none"/>
          <w:lang w:val="en-US" w:eastAsia="zh-CN"/>
        </w:rPr>
        <w:t>我单位今年不存在年初结转结余</w:t>
      </w:r>
      <w:r>
        <w:rPr>
          <w:rFonts w:hint="eastAsia" w:ascii="仿宋_GB2312" w:hAnsi="仿宋_GB2312" w:eastAsia="仿宋_GB2312" w:cs="仿宋_GB2312"/>
          <w:color w:val="000000"/>
          <w:sz w:val="32"/>
          <w:szCs w:val="24"/>
          <w:highlight w:val="none"/>
          <w:lang w:eastAsia="zh-CN"/>
        </w:rPr>
        <w:t>。</w:t>
      </w:r>
    </w:p>
    <w:p w14:paraId="5E95E3B4">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w:t>
      </w:r>
      <w:r>
        <w:rPr>
          <w:rFonts w:hint="eastAsia" w:ascii="楷体" w:hAnsi="楷体" w:eastAsia="楷体" w:cs="楷体"/>
          <w:b/>
          <w:bCs/>
          <w:color w:val="000000"/>
          <w:kern w:val="0"/>
          <w:sz w:val="32"/>
          <w:szCs w:val="32"/>
        </w:rPr>
        <w:t xml:space="preserve"> （二）支出决算总计</w:t>
      </w:r>
      <w:r>
        <w:rPr>
          <w:rFonts w:hint="eastAsia" w:ascii="楷体" w:hAnsi="楷体" w:eastAsia="楷体" w:cs="楷体"/>
          <w:b/>
          <w:bCs/>
          <w:color w:val="000000"/>
          <w:kern w:val="0"/>
          <w:sz w:val="32"/>
          <w:szCs w:val="32"/>
          <w:u w:val="none" w:color="auto"/>
        </w:rPr>
        <w:t> 2837.78</w:t>
      </w:r>
      <w:r>
        <w:rPr>
          <w:rFonts w:hint="eastAsia" w:ascii="楷体" w:hAnsi="楷体" w:eastAsia="楷体" w:cs="楷体"/>
          <w:b/>
          <w:bCs/>
          <w:color w:val="000000"/>
          <w:kern w:val="0"/>
          <w:sz w:val="32"/>
          <w:szCs w:val="32"/>
        </w:rPr>
        <w:t>万元。包括：</w:t>
      </w:r>
    </w:p>
    <w:p w14:paraId="639A5476">
      <w:pPr>
        <w:keepNext w:val="0"/>
        <w:keepLines w:val="0"/>
        <w:pageBreakBefore w:val="0"/>
        <w:widowControl/>
        <w:kinsoku/>
        <w:wordWrap/>
        <w:overflowPunct/>
        <w:topLinePunct w:val="0"/>
        <w:autoSpaceDE/>
        <w:autoSpaceDN/>
        <w:bidi w:val="0"/>
        <w:adjustRightInd/>
        <w:snapToGrid/>
        <w:spacing w:line="560" w:lineRule="exact"/>
        <w:ind w:firstLine="302" w:firstLineChars="112"/>
        <w:textAlignment w:val="auto"/>
        <w:rPr>
          <w:rFonts w:hint="eastAsia" w:ascii="仿宋_GB2312" w:hAnsi="仿宋_GB2312" w:eastAsia="仿宋_GB2312" w:cs="仿宋_GB2312"/>
          <w:color w:val="000000"/>
          <w:sz w:val="32"/>
          <w:szCs w:val="24"/>
          <w:lang w:eastAsia="zh-CN"/>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sz w:val="32"/>
          <w:szCs w:val="24"/>
          <w:lang w:eastAsia="zh-CN"/>
        </w:rPr>
        <w:t xml:space="preserve"> 1.本年支出决算合计 2837.78万元。与上年决算相比，减少3419.99万元，下降54.65%，变动原因：</w:t>
      </w:r>
      <w:r>
        <w:rPr>
          <w:rFonts w:hint="eastAsia" w:ascii="仿宋_GB2312" w:hAnsi="仿宋_GB2312" w:eastAsia="仿宋_GB2312" w:cs="仿宋_GB2312"/>
          <w:color w:val="000000"/>
          <w:sz w:val="32"/>
          <w:szCs w:val="24"/>
          <w:lang w:val="en-US" w:eastAsia="zh-CN"/>
        </w:rPr>
        <w:t>2023年我单位收到上级拨六家公立医院设备紧急采购经费</w:t>
      </w:r>
      <w:r>
        <w:rPr>
          <w:rFonts w:hint="eastAsia" w:ascii="仿宋_GB2312" w:hAnsi="仿宋_GB2312" w:eastAsia="仿宋_GB2312" w:cs="仿宋_GB2312"/>
          <w:color w:val="000000"/>
          <w:sz w:val="32"/>
          <w:szCs w:val="24"/>
          <w:lang w:eastAsia="zh-CN"/>
        </w:rPr>
        <w:t>。</w:t>
      </w:r>
    </w:p>
    <w:p w14:paraId="4E498C56">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2.结余分配 0万元。结余分配事项：</w:t>
      </w:r>
      <w:r>
        <w:rPr>
          <w:rFonts w:hint="eastAsia" w:ascii="仿宋_GB2312" w:hAnsi="仿宋_GB2312" w:eastAsia="仿宋_GB2312" w:cs="仿宋_GB2312"/>
          <w:color w:val="000000"/>
          <w:sz w:val="32"/>
          <w:szCs w:val="24"/>
          <w:lang w:val="en-US" w:eastAsia="zh-CN"/>
        </w:rPr>
        <w:t>无</w:t>
      </w:r>
      <w:r>
        <w:rPr>
          <w:rFonts w:hint="eastAsia" w:ascii="仿宋_GB2312" w:hAnsi="仿宋_GB2312" w:eastAsia="仿宋_GB2312" w:cs="仿宋_GB2312"/>
          <w:color w:val="000000"/>
          <w:sz w:val="32"/>
          <w:szCs w:val="24"/>
          <w:lang w:eastAsia="zh-CN"/>
        </w:rPr>
        <w:t>。与上年决算相比，增加 0万元，增长 0%，变动原因：</w:t>
      </w:r>
      <w:r>
        <w:rPr>
          <w:rFonts w:hint="eastAsia" w:ascii="仿宋_GB2312" w:hAnsi="仿宋_GB2312" w:eastAsia="仿宋_GB2312" w:cs="仿宋_GB2312"/>
          <w:color w:val="000000"/>
          <w:sz w:val="32"/>
          <w:szCs w:val="24"/>
          <w:lang w:val="en-US" w:eastAsia="zh-CN"/>
        </w:rPr>
        <w:t>我单位不存在此项内容</w:t>
      </w:r>
      <w:r>
        <w:rPr>
          <w:rFonts w:hint="eastAsia" w:ascii="仿宋_GB2312" w:hAnsi="仿宋_GB2312" w:eastAsia="仿宋_GB2312" w:cs="仿宋_GB2312"/>
          <w:color w:val="000000"/>
          <w:sz w:val="32"/>
          <w:szCs w:val="24"/>
          <w:lang w:eastAsia="zh-CN"/>
        </w:rPr>
        <w:t>。</w:t>
      </w:r>
    </w:p>
    <w:p w14:paraId="26D635AC">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3.年末结转和结余 0万元。结转和结余事项：</w:t>
      </w:r>
      <w:r>
        <w:rPr>
          <w:rFonts w:hint="eastAsia" w:ascii="仿宋_GB2312" w:hAnsi="仿宋_GB2312" w:eastAsia="仿宋_GB2312" w:cs="仿宋_GB2312"/>
          <w:color w:val="000000"/>
          <w:sz w:val="32"/>
          <w:szCs w:val="24"/>
          <w:lang w:val="en-US" w:eastAsia="zh-CN"/>
        </w:rPr>
        <w:t>无</w:t>
      </w:r>
      <w:r>
        <w:rPr>
          <w:rFonts w:hint="eastAsia" w:ascii="仿宋_GB2312" w:hAnsi="仿宋_GB2312" w:eastAsia="仿宋_GB2312" w:cs="仿宋_GB2312"/>
          <w:color w:val="000000"/>
          <w:sz w:val="32"/>
          <w:szCs w:val="24"/>
          <w:lang w:eastAsia="zh-CN"/>
        </w:rPr>
        <w:t>。与上年决算相比，减少225.43万元，下降100.00%，变动原因：</w:t>
      </w:r>
      <w:r>
        <w:rPr>
          <w:rFonts w:hint="eastAsia" w:ascii="仿宋_GB2312" w:hAnsi="仿宋_GB2312" w:eastAsia="仿宋_GB2312" w:cs="仿宋_GB2312"/>
          <w:color w:val="000000"/>
          <w:sz w:val="32"/>
          <w:szCs w:val="24"/>
          <w:lang w:val="en-US" w:eastAsia="zh-CN"/>
        </w:rPr>
        <w:t>我单位今年无结转结余</w:t>
      </w:r>
      <w:r>
        <w:rPr>
          <w:rFonts w:hint="eastAsia" w:ascii="仿宋_GB2312" w:hAnsi="仿宋_GB2312" w:eastAsia="仿宋_GB2312" w:cs="仿宋_GB2312"/>
          <w:color w:val="000000"/>
          <w:sz w:val="32"/>
          <w:szCs w:val="24"/>
          <w:lang w:eastAsia="zh-CN"/>
        </w:rPr>
        <w:t>。</w:t>
      </w:r>
    </w:p>
    <w:p w14:paraId="09AB119A">
      <w:pPr>
        <w:widowControl/>
        <w:spacing w:before="240" w:after="240"/>
        <w:jc w:val="left"/>
        <w:rPr>
          <w:rFonts w:hint="eastAsia" w:ascii="黑体" w:hAnsi="黑体" w:eastAsia="黑体" w:cs="黑体"/>
          <w:kern w:val="0"/>
          <w:sz w:val="32"/>
          <w:szCs w:val="32"/>
        </w:rPr>
      </w:pPr>
      <w:r>
        <w:rPr>
          <w:rFonts w:hint="eastAsia" w:ascii="黑体" w:hAnsi="黑体" w:eastAsia="黑体" w:cs="黑体"/>
          <w:b/>
          <w:bCs/>
          <w:kern w:val="0"/>
          <w:sz w:val="32"/>
          <w:szCs w:val="32"/>
        </w:rPr>
        <w:t>   </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 xml:space="preserve"> 二、收入决算情况说明</w:t>
      </w:r>
    </w:p>
    <w:p w14:paraId="47E0A6E0">
      <w:pPr>
        <w:keepNext w:val="0"/>
        <w:keepLines w:val="0"/>
        <w:pageBreakBefore w:val="0"/>
        <w:widowControl/>
        <w:kinsoku/>
        <w:wordWrap/>
        <w:overflowPunct/>
        <w:topLinePunct w:val="0"/>
        <w:autoSpaceDE/>
        <w:autoSpaceDN/>
        <w:bidi w:val="0"/>
        <w:adjustRightInd/>
        <w:snapToGrid/>
        <w:spacing w:line="560" w:lineRule="exact"/>
        <w:ind w:firstLine="302" w:firstLineChars="112"/>
        <w:textAlignment w:val="auto"/>
        <w:rPr>
          <w:rFonts w:hint="eastAsia" w:ascii="仿宋_GB2312" w:hAnsi="仿宋_GB2312" w:eastAsia="仿宋_GB2312" w:cs="仿宋_GB2312"/>
          <w:color w:val="000000"/>
          <w:sz w:val="32"/>
          <w:szCs w:val="24"/>
          <w:lang w:eastAsia="zh-CN"/>
        </w:rPr>
      </w:pPr>
      <w:r>
        <w:rPr>
          <w:rFonts w:ascii="仿宋_GB2312" w:hAnsi="仿宋_GB2312" w:eastAsia="仿宋_GB2312" w:cs="仿宋_GB2312"/>
          <w:color w:val="0E00FE"/>
          <w:kern w:val="0"/>
          <w:sz w:val="27"/>
          <w:szCs w:val="27"/>
        </w:rPr>
        <w:t xml:space="preserve">    </w:t>
      </w:r>
      <w:r>
        <w:rPr>
          <w:rFonts w:ascii="仿宋_GB2312" w:hAnsi="仿宋_GB2312" w:eastAsia="仿宋_GB2312" w:cs="仿宋_GB2312"/>
          <w:kern w:val="0"/>
          <w:sz w:val="27"/>
          <w:szCs w:val="27"/>
        </w:rPr>
        <w:t> </w:t>
      </w:r>
      <w:r>
        <w:rPr>
          <w:rFonts w:hint="eastAsia" w:ascii="仿宋_GB2312" w:hAnsi="仿宋_GB2312" w:eastAsia="仿宋_GB2312" w:cs="仿宋_GB2312"/>
          <w:color w:val="000000"/>
          <w:sz w:val="32"/>
          <w:szCs w:val="24"/>
          <w:lang w:eastAsia="zh-CN"/>
        </w:rPr>
        <w:t xml:space="preserve">   乌海市卫生健康委员会（本级） 2024年度本年收入决算合计 2837.78万元，其中：</w:t>
      </w:r>
    </w:p>
    <w:p w14:paraId="0D05648F">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本年一般公共预算财政拨款收入 2837.78万元，占 100.00%；</w:t>
      </w:r>
    </w:p>
    <w:p w14:paraId="751DCD48">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本年政府性基金预算财政拨款收入 0万元，占 0%；</w:t>
      </w:r>
    </w:p>
    <w:p w14:paraId="7AD41382">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本年国有资本经营预算财政拨款收入 0万元，占 0%；</w:t>
      </w:r>
    </w:p>
    <w:p w14:paraId="0A7035B8">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本年上级补助收入 0万元，占 0%；</w:t>
      </w:r>
    </w:p>
    <w:p w14:paraId="55923315">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本年事业收入 0万元，占 0%；</w:t>
      </w:r>
    </w:p>
    <w:p w14:paraId="5DAD3842">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本年经营收入 0万元，占 0%；</w:t>
      </w:r>
    </w:p>
    <w:p w14:paraId="041666F9">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本年附属单位上缴收入 0万元，占 0%；</w:t>
      </w:r>
    </w:p>
    <w:p w14:paraId="1233F3C7">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本年其他收入 0万元，占 0%。</w:t>
      </w:r>
    </w:p>
    <w:p w14:paraId="5886B093">
      <w:pPr>
        <w:widowControl/>
        <w:spacing w:before="240" w:after="240"/>
        <w:rPr>
          <w:rFonts w:eastAsia="Times New Roman"/>
          <w:kern w:val="0"/>
          <w:sz w:val="24"/>
        </w:rPr>
      </w:pPr>
    </w:p>
    <w:p w14:paraId="52AD36CA">
      <w:pPr>
        <w:widowControl/>
        <w:spacing w:before="240" w:after="240"/>
        <w:jc w:val="center"/>
        <w:rPr>
          <w:rFonts w:eastAsia="Times New Roman"/>
          <w:kern w:val="0"/>
          <w:sz w:val="24"/>
        </w:rPr>
      </w:pPr>
      <w:r>
        <w:rPr>
          <w:rFonts w:eastAsia="Times New Roman"/>
          <w:kern w:val="0"/>
          <w:sz w:val="24"/>
        </w:rPr>
        <w:drawing>
          <wp:inline distT="0" distB="0" distL="114300" distR="114300">
            <wp:extent cx="5209540" cy="3255010"/>
            <wp:effectExtent l="0" t="0" r="2540" b="635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a:stretch>
                      <a:fillRect/>
                    </a:stretch>
                  </pic:blipFill>
                  <pic:spPr>
                    <a:xfrm>
                      <a:off x="0" y="0"/>
                      <a:ext cx="5209540" cy="3255010"/>
                    </a:xfrm>
                    <a:prstGeom prst="rect">
                      <a:avLst/>
                    </a:prstGeom>
                    <a:noFill/>
                    <a:ln>
                      <a:noFill/>
                    </a:ln>
                  </pic:spPr>
                </pic:pic>
              </a:graphicData>
            </a:graphic>
          </wp:inline>
        </w:drawing>
      </w:r>
      <w:r>
        <w:rPr>
          <w:rFonts w:eastAsia="Times New Roman"/>
          <w:kern w:val="0"/>
          <w:sz w:val="24"/>
        </w:rPr>
        <w:t xml:space="preserve">  </w:t>
      </w:r>
    </w:p>
    <w:p w14:paraId="49044C15">
      <w:pPr>
        <w:widowControl/>
        <w:spacing w:before="240" w:after="240"/>
        <w:jc w:val="center"/>
        <w:rPr>
          <w:rFonts w:eastAsia="Times New Roman"/>
          <w:kern w:val="0"/>
          <w:sz w:val="24"/>
        </w:rPr>
      </w:pPr>
      <w:r>
        <w:rPr>
          <w:rFonts w:ascii="仿宋_GB2312" w:hAnsi="仿宋_GB2312" w:eastAsia="仿宋_GB2312" w:cs="仿宋_GB2312"/>
          <w:kern w:val="0"/>
          <w:sz w:val="27"/>
          <w:szCs w:val="27"/>
        </w:rPr>
        <w:t>图</w:t>
      </w:r>
      <w:r>
        <w:rPr>
          <w:rFonts w:ascii="times_new_roman" w:hAnsi="times_new_roman" w:eastAsia="times_new_roman" w:cs="times_new_roman"/>
          <w:kern w:val="0"/>
          <w:sz w:val="27"/>
          <w:szCs w:val="27"/>
        </w:rPr>
        <w:t>1</w:t>
      </w:r>
      <w:r>
        <w:rPr>
          <w:rFonts w:ascii="仿宋_GB2312" w:hAnsi="仿宋_GB2312" w:eastAsia="仿宋_GB2312" w:cs="仿宋_GB2312"/>
          <w:kern w:val="0"/>
          <w:sz w:val="27"/>
          <w:szCs w:val="27"/>
        </w:rPr>
        <w:t>.收入决算图</w:t>
      </w:r>
    </w:p>
    <w:p w14:paraId="4C7B1821">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hint="eastAsia" w:ascii="黑体" w:hAnsi="黑体" w:eastAsia="黑体" w:cs="黑体"/>
          <w:b/>
          <w:bCs/>
          <w:kern w:val="0"/>
          <w:sz w:val="32"/>
          <w:szCs w:val="32"/>
          <w:lang w:val="en-US" w:eastAsia="zh-CN"/>
        </w:rPr>
        <w:t xml:space="preserve"> </w:t>
      </w:r>
      <w:r>
        <w:rPr>
          <w:rFonts w:ascii="黑体" w:hAnsi="黑体" w:eastAsia="黑体" w:cs="黑体"/>
          <w:b/>
          <w:bCs/>
          <w:kern w:val="0"/>
          <w:sz w:val="32"/>
          <w:szCs w:val="32"/>
        </w:rPr>
        <w:t>三、支出决算情况说明</w:t>
      </w:r>
    </w:p>
    <w:p w14:paraId="1FB5CF85">
      <w:pPr>
        <w:widowControl/>
        <w:spacing w:before="240" w:after="240"/>
        <w:rPr>
          <w:rFonts w:eastAsia="Times New Roman"/>
          <w:kern w:val="0"/>
          <w:sz w:val="24"/>
        </w:rPr>
      </w:pPr>
      <w:r>
        <w:rPr>
          <w:rFonts w:ascii="仿宋_GB2312" w:hAnsi="仿宋_GB2312" w:eastAsia="仿宋_GB2312" w:cs="仿宋_GB2312"/>
          <w:color w:val="0E00FE"/>
          <w:kern w:val="0"/>
          <w:sz w:val="27"/>
          <w:szCs w:val="27"/>
        </w:rPr>
        <w:t xml:space="preserve">  </w:t>
      </w:r>
    </w:p>
    <w:p w14:paraId="68A3D9CF">
      <w:pPr>
        <w:keepNext w:val="0"/>
        <w:keepLines w:val="0"/>
        <w:pageBreakBefore w:val="0"/>
        <w:widowControl/>
        <w:kinsoku/>
        <w:wordWrap/>
        <w:overflowPunct/>
        <w:topLinePunct w:val="0"/>
        <w:autoSpaceDE/>
        <w:autoSpaceDN/>
        <w:bidi w:val="0"/>
        <w:adjustRightInd/>
        <w:snapToGrid/>
        <w:spacing w:line="560" w:lineRule="exact"/>
        <w:ind w:firstLine="302" w:firstLineChars="112"/>
        <w:textAlignment w:val="auto"/>
        <w:rPr>
          <w:rFonts w:hint="eastAsia" w:ascii="仿宋_GB2312" w:hAnsi="仿宋_GB2312" w:eastAsia="仿宋_GB2312" w:cs="仿宋_GB2312"/>
          <w:color w:val="000000"/>
          <w:sz w:val="32"/>
          <w:szCs w:val="24"/>
          <w:lang w:eastAsia="zh-CN"/>
        </w:rPr>
      </w:pPr>
      <w:r>
        <w:rPr>
          <w:rFonts w:ascii="仿宋_GB2312" w:hAnsi="仿宋_GB2312" w:eastAsia="仿宋_GB2312" w:cs="仿宋_GB2312"/>
          <w:kern w:val="0"/>
          <w:sz w:val="27"/>
          <w:szCs w:val="27"/>
        </w:rPr>
        <w:t>   </w:t>
      </w:r>
      <w:r>
        <w:rPr>
          <w:rFonts w:hint="eastAsia" w:ascii="仿宋_GB2312" w:hAnsi="仿宋_GB2312" w:eastAsia="仿宋_GB2312" w:cs="仿宋_GB2312"/>
          <w:color w:val="000000"/>
          <w:sz w:val="32"/>
          <w:szCs w:val="24"/>
          <w:lang w:eastAsia="zh-CN"/>
        </w:rPr>
        <w:t xml:space="preserve"> 乌海市卫生健康委员会（本级） 2024年度本年支出决算合计 2837.78万元，其中：</w:t>
      </w:r>
    </w:p>
    <w:p w14:paraId="34B0C3D9">
      <w:pPr>
        <w:widowControl/>
        <w:spacing w:before="240" w:after="240"/>
        <w:rPr>
          <w:rFonts w:hint="eastAsia" w:ascii="仿宋_GB2312" w:hAnsi="仿宋_GB2312" w:eastAsia="仿宋_GB2312" w:cs="仿宋_GB2312"/>
          <w:color w:val="000000"/>
          <w:sz w:val="32"/>
          <w:szCs w:val="24"/>
          <w:highlight w:val="none"/>
          <w:lang w:eastAsia="zh-CN"/>
        </w:rPr>
      </w:pPr>
      <w:r>
        <w:rPr>
          <w:rFonts w:hint="eastAsia" w:ascii="仿宋_GB2312" w:hAnsi="仿宋_GB2312" w:eastAsia="仿宋_GB2312" w:cs="仿宋_GB2312"/>
          <w:color w:val="000000"/>
          <w:sz w:val="32"/>
          <w:szCs w:val="24"/>
          <w:lang w:eastAsia="zh-CN"/>
        </w:rPr>
        <w:t>    本年基本支出 683.51万元，占 24.09%；</w:t>
      </w:r>
      <w:r>
        <w:rPr>
          <w:rFonts w:hint="eastAsia" w:ascii="仿宋" w:hAnsi="仿宋" w:eastAsia="仿宋" w:cs="仿宋"/>
          <w:color w:val="000000"/>
          <w:kern w:val="0"/>
          <w:sz w:val="32"/>
          <w:szCs w:val="32"/>
          <w:highlight w:val="none"/>
          <w:lang w:val="en-US" w:eastAsia="zh-CN"/>
        </w:rPr>
        <w:t>其中，公用经费</w:t>
      </w:r>
      <w:r>
        <w:rPr>
          <w:rFonts w:hint="eastAsia" w:ascii="仿宋" w:hAnsi="仿宋" w:eastAsia="仿宋" w:cs="仿宋"/>
          <w:color w:val="000000"/>
          <w:kern w:val="0"/>
          <w:sz w:val="32"/>
          <w:szCs w:val="32"/>
          <w:highlight w:val="none"/>
          <w:u w:val="single"/>
          <w:lang w:val="en-US" w:eastAsia="zh-CN"/>
        </w:rPr>
        <w:t>60.52</w:t>
      </w:r>
      <w:r>
        <w:rPr>
          <w:rFonts w:hint="eastAsia" w:ascii="仿宋" w:hAnsi="仿宋" w:eastAsia="仿宋" w:cs="仿宋"/>
          <w:color w:val="000000"/>
          <w:kern w:val="0"/>
          <w:sz w:val="32"/>
          <w:szCs w:val="32"/>
          <w:highlight w:val="none"/>
          <w:lang w:val="en-US" w:eastAsia="zh-CN"/>
        </w:rPr>
        <w:t>万元，比上年决算相比，减少</w:t>
      </w:r>
      <w:r>
        <w:rPr>
          <w:rFonts w:hint="eastAsia" w:ascii="仿宋" w:hAnsi="仿宋" w:eastAsia="仿宋" w:cs="仿宋"/>
          <w:color w:val="000000"/>
          <w:kern w:val="0"/>
          <w:sz w:val="32"/>
          <w:szCs w:val="32"/>
          <w:highlight w:val="none"/>
          <w:u w:val="single"/>
          <w:lang w:val="en-US" w:eastAsia="zh-CN"/>
        </w:rPr>
        <w:t>2.64</w:t>
      </w:r>
      <w:r>
        <w:rPr>
          <w:rFonts w:hint="eastAsia" w:ascii="仿宋" w:hAnsi="仿宋" w:eastAsia="仿宋" w:cs="仿宋"/>
          <w:color w:val="000000"/>
          <w:kern w:val="0"/>
          <w:sz w:val="32"/>
          <w:szCs w:val="32"/>
          <w:highlight w:val="none"/>
          <w:lang w:val="en-US" w:eastAsia="zh-CN"/>
        </w:rPr>
        <w:t>万元，减少</w:t>
      </w:r>
      <w:r>
        <w:rPr>
          <w:rFonts w:hint="eastAsia" w:ascii="仿宋" w:hAnsi="仿宋" w:eastAsia="仿宋" w:cs="仿宋"/>
          <w:color w:val="000000"/>
          <w:kern w:val="0"/>
          <w:sz w:val="32"/>
          <w:szCs w:val="32"/>
          <w:highlight w:val="none"/>
          <w:u w:val="single"/>
          <w:lang w:val="en-US" w:eastAsia="zh-CN"/>
        </w:rPr>
        <w:t>4.36</w:t>
      </w:r>
      <w:r>
        <w:rPr>
          <w:rFonts w:hint="eastAsia" w:ascii="仿宋" w:hAnsi="仿宋" w:eastAsia="仿宋" w:cs="仿宋"/>
          <w:color w:val="000000"/>
          <w:kern w:val="0"/>
          <w:sz w:val="32"/>
          <w:szCs w:val="32"/>
          <w:highlight w:val="none"/>
          <w:lang w:val="en-US" w:eastAsia="zh-CN"/>
        </w:rPr>
        <w:t>%，变动原因：我单位本着过紧日子的要求，节约办公耗材消耗等。</w:t>
      </w:r>
      <w:bookmarkStart w:id="1" w:name="_GoBack"/>
      <w:bookmarkEnd w:id="1"/>
    </w:p>
    <w:p w14:paraId="0C0167C0">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本年项目支出 2154.28万元，占 75.91%；</w:t>
      </w:r>
    </w:p>
    <w:p w14:paraId="6B975429">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本年上缴上级支出 0万元，占 0%；</w:t>
      </w:r>
    </w:p>
    <w:p w14:paraId="0BCE219E">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本年经营支出 0万元，占 0%；</w:t>
      </w:r>
    </w:p>
    <w:p w14:paraId="1D3B07C4">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color w:val="000000"/>
          <w:sz w:val="32"/>
          <w:szCs w:val="24"/>
          <w:lang w:eastAsia="zh-CN"/>
        </w:rPr>
      </w:pPr>
      <w:r>
        <w:rPr>
          <w:rFonts w:hint="eastAsia" w:ascii="仿宋_GB2312" w:hAnsi="仿宋_GB2312" w:eastAsia="仿宋_GB2312" w:cs="仿宋_GB2312"/>
          <w:color w:val="000000"/>
          <w:sz w:val="32"/>
          <w:szCs w:val="24"/>
          <w:lang w:eastAsia="zh-CN"/>
        </w:rPr>
        <w:t>    本年对附属单位补助支出 0万元，占 0%。</w:t>
      </w:r>
    </w:p>
    <w:p w14:paraId="61F8DC9F">
      <w:pPr>
        <w:widowControl/>
        <w:spacing w:before="240" w:after="240"/>
        <w:jc w:val="center"/>
        <w:rPr>
          <w:rFonts w:eastAsia="Times New Roman"/>
          <w:kern w:val="0"/>
          <w:sz w:val="24"/>
        </w:rPr>
      </w:pPr>
      <w:r>
        <w:rPr>
          <w:rFonts w:eastAsia="Times New Roman"/>
          <w:kern w:val="0"/>
          <w:sz w:val="24"/>
        </w:rPr>
        <w:drawing>
          <wp:inline distT="0" distB="0" distL="114300" distR="114300">
            <wp:extent cx="4938395" cy="3086100"/>
            <wp:effectExtent l="0" t="0" r="14605" b="762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7"/>
                    <a:stretch>
                      <a:fillRect/>
                    </a:stretch>
                  </pic:blipFill>
                  <pic:spPr>
                    <a:xfrm>
                      <a:off x="0" y="0"/>
                      <a:ext cx="4938395" cy="3086100"/>
                    </a:xfrm>
                    <a:prstGeom prst="rect">
                      <a:avLst/>
                    </a:prstGeom>
                    <a:noFill/>
                    <a:ln>
                      <a:noFill/>
                    </a:ln>
                  </pic:spPr>
                </pic:pic>
              </a:graphicData>
            </a:graphic>
          </wp:inline>
        </w:drawing>
      </w:r>
      <w:r>
        <w:rPr>
          <w:rFonts w:eastAsia="Times New Roman"/>
          <w:kern w:val="0"/>
          <w:sz w:val="24"/>
        </w:rPr>
        <w:t xml:space="preserve">  </w:t>
      </w:r>
    </w:p>
    <w:p w14:paraId="2F9B17FD">
      <w:pPr>
        <w:widowControl/>
        <w:spacing w:before="240" w:after="240"/>
        <w:jc w:val="center"/>
        <w:rPr>
          <w:rFonts w:eastAsia="Times New Roman"/>
          <w:kern w:val="0"/>
          <w:sz w:val="24"/>
        </w:rPr>
      </w:pPr>
      <w:r>
        <w:rPr>
          <w:rFonts w:ascii="仿宋_GB2312" w:hAnsi="仿宋_GB2312" w:eastAsia="仿宋_GB2312" w:cs="仿宋_GB2312"/>
          <w:kern w:val="0"/>
          <w:sz w:val="27"/>
          <w:szCs w:val="27"/>
        </w:rPr>
        <w:t>图2.支出决算图</w:t>
      </w:r>
    </w:p>
    <w:p w14:paraId="08729D9C">
      <w:pPr>
        <w:widowControl/>
        <w:spacing w:before="240" w:after="240"/>
        <w:jc w:val="left"/>
        <w:rPr>
          <w:rFonts w:eastAsia="Times New Roman"/>
          <w:kern w:val="0"/>
          <w:sz w:val="24"/>
        </w:rPr>
      </w:pPr>
    </w:p>
    <w:p w14:paraId="0BE1D81D">
      <w:pPr>
        <w:widowControl/>
        <w:spacing w:before="240" w:after="240"/>
        <w:jc w:val="left"/>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四、财政拨款收入支出决算总体情况说明</w:t>
      </w:r>
    </w:p>
    <w:p w14:paraId="3554311A">
      <w:pPr>
        <w:widowControl/>
        <w:spacing w:before="240" w:after="240"/>
        <w:rPr>
          <w:rFonts w:hint="eastAsia" w:ascii="仿宋_GB2312" w:hAnsi="仿宋_GB2312" w:eastAsia="仿宋_GB2312" w:cs="仿宋_GB2312"/>
          <w:color w:val="000000"/>
          <w:sz w:val="32"/>
          <w:szCs w:val="24"/>
          <w:lang w:eastAsia="zh-CN"/>
        </w:rPr>
      </w:pPr>
      <w:r>
        <w:rPr>
          <w:rFonts w:ascii="仿宋_GB2312" w:hAnsi="仿宋_GB2312" w:eastAsia="仿宋_GB2312" w:cs="仿宋_GB2312"/>
          <w:kern w:val="0"/>
          <w:sz w:val="27"/>
          <w:szCs w:val="27"/>
        </w:rPr>
        <w:t xml:space="preserve">  </w:t>
      </w:r>
      <w:r>
        <w:rPr>
          <w:rFonts w:hint="eastAsia" w:ascii="仿宋_GB2312" w:hAnsi="仿宋_GB2312" w:eastAsia="仿宋_GB2312" w:cs="仿宋_GB2312"/>
          <w:color w:val="000000"/>
          <w:sz w:val="32"/>
          <w:szCs w:val="24"/>
          <w:lang w:eastAsia="zh-CN"/>
        </w:rPr>
        <w:t>  乌海市卫生健康委员会（本级） 2024年度财政拨款收入、支出决算总计均为 2837.78万元，与年初预算相比，收、支总计各减少58.04万元，下降2.00%，变动原因：</w:t>
      </w:r>
      <w:r>
        <w:rPr>
          <w:rFonts w:hint="eastAsia" w:ascii="仿宋_GB2312" w:hAnsi="仿宋_GB2312" w:eastAsia="仿宋_GB2312" w:cs="仿宋_GB2312"/>
          <w:color w:val="000000"/>
          <w:sz w:val="32"/>
          <w:szCs w:val="24"/>
          <w:highlight w:val="none"/>
          <w:lang w:val="en-US" w:eastAsia="zh-CN"/>
        </w:rPr>
        <w:t>年初预算数字包含上年结转结余，我单位还有结转结余未支出</w:t>
      </w:r>
      <w:r>
        <w:rPr>
          <w:rFonts w:hint="eastAsia" w:ascii="仿宋_GB2312" w:hAnsi="仿宋_GB2312" w:eastAsia="仿宋_GB2312" w:cs="仿宋_GB2312"/>
          <w:color w:val="000000"/>
          <w:sz w:val="32"/>
          <w:szCs w:val="24"/>
          <w:lang w:eastAsia="zh-CN"/>
        </w:rPr>
        <w:t>；与上年决算相比，收、支总计各减少3426.27万元，下降54.70%，变动原因：</w:t>
      </w:r>
      <w:r>
        <w:rPr>
          <w:rFonts w:hint="eastAsia" w:ascii="仿宋_GB2312" w:hAnsi="仿宋_GB2312" w:eastAsia="仿宋_GB2312" w:cs="仿宋_GB2312"/>
          <w:color w:val="000000"/>
          <w:sz w:val="32"/>
          <w:szCs w:val="24"/>
          <w:lang w:val="en-US" w:eastAsia="zh-CN"/>
        </w:rPr>
        <w:t>上年我单位收到上级拨市直六家公立医院重症设备紧急采购经费</w:t>
      </w:r>
      <w:r>
        <w:rPr>
          <w:rFonts w:hint="eastAsia" w:ascii="仿宋_GB2312" w:hAnsi="仿宋_GB2312" w:eastAsia="仿宋_GB2312" w:cs="仿宋_GB2312"/>
          <w:color w:val="000000"/>
          <w:sz w:val="32"/>
          <w:szCs w:val="24"/>
          <w:lang w:eastAsia="zh-CN"/>
        </w:rPr>
        <w:t>。</w:t>
      </w:r>
    </w:p>
    <w:p w14:paraId="0B15A0D9">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五、一般公共预算财政拨款支出决算情况说明</w:t>
      </w:r>
    </w:p>
    <w:p w14:paraId="5655F130">
      <w:pPr>
        <w:keepNext w:val="0"/>
        <w:keepLines w:val="0"/>
        <w:pageBreakBefore w:val="0"/>
        <w:widowControl/>
        <w:kinsoku/>
        <w:wordWrap/>
        <w:overflowPunct/>
        <w:topLinePunct w:val="0"/>
        <w:autoSpaceDE/>
        <w:autoSpaceDN/>
        <w:bidi w:val="0"/>
        <w:adjustRightInd/>
        <w:snapToGrid/>
        <w:spacing w:line="560" w:lineRule="exact"/>
        <w:ind w:firstLine="302" w:firstLineChars="112"/>
        <w:textAlignment w:val="auto"/>
        <w:rPr>
          <w:rFonts w:hint="eastAsia" w:ascii="仿宋_GB2312" w:hAnsi="仿宋_GB2312" w:eastAsia="仿宋_GB2312" w:cs="仿宋_GB2312"/>
          <w:kern w:val="0"/>
          <w:sz w:val="32"/>
          <w:szCs w:val="32"/>
          <w:lang w:eastAsia="zh-CN"/>
        </w:rPr>
      </w:pPr>
      <w:r>
        <w:rPr>
          <w:rFonts w:ascii="仿宋_GB2312" w:hAnsi="仿宋_GB2312" w:eastAsia="仿宋_GB2312" w:cs="仿宋_GB2312"/>
          <w:kern w:val="0"/>
          <w:sz w:val="27"/>
          <w:szCs w:val="27"/>
        </w:rPr>
        <w:t> </w:t>
      </w:r>
      <w:r>
        <w:rPr>
          <w:rFonts w:hint="eastAsia" w:ascii="仿宋_GB2312" w:hAnsi="仿宋_GB2312" w:eastAsia="仿宋_GB2312" w:cs="仿宋_GB2312"/>
          <w:color w:val="000000"/>
          <w:sz w:val="32"/>
          <w:szCs w:val="24"/>
          <w:lang w:eastAsia="zh-CN"/>
        </w:rPr>
        <w:t xml:space="preserve">  </w:t>
      </w:r>
      <w:r>
        <w:rPr>
          <w:rFonts w:hint="eastAsia" w:ascii="仿宋_GB2312" w:hAnsi="仿宋_GB2312" w:eastAsia="仿宋_GB2312" w:cs="仿宋_GB2312"/>
          <w:kern w:val="0"/>
          <w:sz w:val="32"/>
          <w:szCs w:val="32"/>
          <w:lang w:eastAsia="zh-CN"/>
        </w:rPr>
        <w:t xml:space="preserve"> 乌海市卫生健康委员会（本级） 2024年度一般公共预算财政拨款支出决算 2837.78万元。与年初预</w:t>
      </w:r>
      <w:r>
        <w:rPr>
          <w:rFonts w:hint="eastAsia" w:ascii="仿宋_GB2312" w:hAnsi="仿宋_GB2312" w:eastAsia="仿宋_GB2312" w:cs="仿宋_GB2312"/>
          <w:kern w:val="0"/>
          <w:sz w:val="32"/>
          <w:szCs w:val="32"/>
          <w:highlight w:val="none"/>
          <w:lang w:eastAsia="zh-CN"/>
        </w:rPr>
        <w:t>算2895.83万元相</w:t>
      </w:r>
      <w:r>
        <w:rPr>
          <w:rFonts w:hint="eastAsia" w:ascii="仿宋_GB2312" w:hAnsi="仿宋_GB2312" w:eastAsia="仿宋_GB2312" w:cs="仿宋_GB2312"/>
          <w:kern w:val="0"/>
          <w:sz w:val="32"/>
          <w:szCs w:val="32"/>
          <w:lang w:eastAsia="zh-CN"/>
        </w:rPr>
        <w:t>比，完成年初预算的98.00%。其中：</w:t>
      </w:r>
    </w:p>
    <w:p w14:paraId="72374C34">
      <w:pPr>
        <w:keepNext w:val="0"/>
        <w:keepLines w:val="0"/>
        <w:pageBreakBefore w:val="0"/>
        <w:widowControl/>
        <w:kinsoku/>
        <w:wordWrap/>
        <w:overflowPunct/>
        <w:topLinePunct w:val="0"/>
        <w:autoSpaceDE/>
        <w:autoSpaceDN/>
        <w:bidi w:val="0"/>
        <w:adjustRightInd/>
        <w:snapToGrid/>
        <w:spacing w:line="560" w:lineRule="exact"/>
        <w:ind w:firstLine="360" w:firstLineChars="112"/>
        <w:jc w:val="both"/>
        <w:textAlignment w:val="auto"/>
        <w:rPr>
          <w:rFonts w:hint="eastAsia" w:ascii="楷体" w:hAnsi="楷体" w:eastAsia="楷体" w:cs="楷体"/>
          <w:b/>
          <w:bCs/>
          <w:kern w:val="0"/>
          <w:sz w:val="32"/>
          <w:szCs w:val="32"/>
          <w:lang w:eastAsia="zh-CN"/>
        </w:rPr>
      </w:pPr>
      <w:r>
        <w:rPr>
          <w:rFonts w:hint="eastAsia" w:ascii="楷体" w:hAnsi="楷体" w:eastAsia="楷体" w:cs="楷体"/>
          <w:b/>
          <w:bCs/>
          <w:kern w:val="0"/>
          <w:sz w:val="32"/>
          <w:szCs w:val="32"/>
          <w:lang w:eastAsia="zh-CN"/>
        </w:rPr>
        <w:t>    （一）一般公共服务（类）</w:t>
      </w:r>
    </w:p>
    <w:p w14:paraId="59F523D7">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    一般公共服务（类）决算数为 7.28万元，与年初预算相比增加 0万元。其中：</w:t>
      </w:r>
    </w:p>
    <w:p w14:paraId="63A1670E">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eastAsia="zh-CN"/>
        </w:rPr>
        <w:t xml:space="preserve"> </w:t>
      </w: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eastAsia="zh-CN"/>
        </w:rPr>
        <w:t>群众团体事务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其他群众团体事务支出</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none"/>
          <w:lang w:val="en-US" w:eastAsia="zh-CN"/>
        </w:rPr>
        <w:t>7.28</w:t>
      </w:r>
      <w:r>
        <w:rPr>
          <w:rFonts w:hint="eastAsia" w:ascii="仿宋_GB2312" w:hAnsi="仿宋_GB2312" w:eastAsia="仿宋_GB2312" w:cs="仿宋_GB2312"/>
          <w:kern w:val="0"/>
          <w:sz w:val="32"/>
          <w:szCs w:val="32"/>
          <w:u w:val="none"/>
        </w:rPr>
        <w:t>万元，支出决算</w:t>
      </w:r>
      <w:r>
        <w:rPr>
          <w:rFonts w:hint="eastAsia" w:ascii="仿宋_GB2312" w:hAnsi="仿宋_GB2312" w:eastAsia="仿宋_GB2312" w:cs="仿宋_GB2312"/>
          <w:kern w:val="0"/>
          <w:sz w:val="32"/>
          <w:szCs w:val="32"/>
          <w:u w:val="none"/>
          <w:lang w:val="en-US" w:eastAsia="zh-CN"/>
        </w:rPr>
        <w:t>7.28</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100</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eastAsia="zh-CN"/>
        </w:rPr>
        <w:t>此项内容无差异</w:t>
      </w:r>
      <w:r>
        <w:rPr>
          <w:rFonts w:hint="eastAsia" w:ascii="仿宋_GB2312" w:hAnsi="仿宋_GB2312" w:eastAsia="仿宋_GB2312" w:cs="仿宋_GB2312"/>
          <w:kern w:val="0"/>
          <w:sz w:val="32"/>
          <w:szCs w:val="32"/>
        </w:rPr>
        <w:t>。</w:t>
      </w:r>
    </w:p>
    <w:p w14:paraId="5D95CC4D">
      <w:pPr>
        <w:keepNext w:val="0"/>
        <w:keepLines w:val="0"/>
        <w:pageBreakBefore w:val="0"/>
        <w:widowControl/>
        <w:kinsoku/>
        <w:wordWrap/>
        <w:overflowPunct/>
        <w:topLinePunct w:val="0"/>
        <w:autoSpaceDE/>
        <w:autoSpaceDN/>
        <w:bidi w:val="0"/>
        <w:adjustRightInd/>
        <w:snapToGrid/>
        <w:spacing w:line="560" w:lineRule="exact"/>
        <w:ind w:firstLine="303" w:firstLineChars="112"/>
        <w:jc w:val="both"/>
        <w:textAlignment w:val="auto"/>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kern w:val="0"/>
          <w:sz w:val="32"/>
          <w:szCs w:val="32"/>
        </w:rPr>
        <w:t>（</w:t>
      </w:r>
      <w:r>
        <w:rPr>
          <w:rFonts w:hint="eastAsia" w:ascii="楷体" w:hAnsi="楷体" w:eastAsia="楷体" w:cs="楷体"/>
          <w:b/>
          <w:bCs/>
          <w:kern w:val="0"/>
          <w:sz w:val="32"/>
          <w:szCs w:val="32"/>
          <w:lang w:eastAsia="zh-CN"/>
        </w:rPr>
        <w:t>二</w:t>
      </w:r>
      <w:r>
        <w:rPr>
          <w:rFonts w:hint="eastAsia" w:ascii="楷体" w:hAnsi="楷体" w:eastAsia="楷体" w:cs="楷体"/>
          <w:b/>
          <w:bCs/>
          <w:kern w:val="0"/>
          <w:sz w:val="32"/>
          <w:szCs w:val="32"/>
        </w:rPr>
        <w:t>）社会保障和就业支出（类）</w:t>
      </w:r>
    </w:p>
    <w:p w14:paraId="0B9C01DF">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u w:val="none"/>
        </w:rPr>
      </w:pPr>
      <w:r>
        <w:rPr>
          <w:rFonts w:ascii="fang_song_gb2312" w:hAnsi="fang_song_gb2312" w:eastAsia="fang_song_gb2312" w:cs="fang_song_gb2312"/>
          <w:kern w:val="0"/>
          <w:sz w:val="27"/>
          <w:szCs w:val="27"/>
        </w:rPr>
        <w:t> </w:t>
      </w:r>
      <w:r>
        <w:rPr>
          <w:rFonts w:hint="eastAsia" w:ascii="仿宋_GB2312" w:hAnsi="仿宋_GB2312" w:eastAsia="仿宋_GB2312" w:cs="仿宋_GB2312"/>
          <w:kern w:val="0"/>
          <w:sz w:val="32"/>
          <w:szCs w:val="32"/>
        </w:rPr>
        <w:t xml:space="preserve">   社会保障和就业支出类决算数为</w:t>
      </w:r>
      <w:r>
        <w:rPr>
          <w:rFonts w:hint="eastAsia" w:ascii="仿宋_GB2312" w:hAnsi="仿宋_GB2312" w:eastAsia="仿宋_GB2312" w:cs="仿宋_GB2312"/>
          <w:kern w:val="0"/>
          <w:sz w:val="32"/>
          <w:szCs w:val="32"/>
          <w:u w:val="none"/>
          <w:lang w:val="en-US" w:eastAsia="zh-CN"/>
        </w:rPr>
        <w:t>88.51</w:t>
      </w:r>
      <w:r>
        <w:rPr>
          <w:rFonts w:hint="eastAsia" w:ascii="仿宋_GB2312" w:hAnsi="仿宋_GB2312" w:eastAsia="仿宋_GB2312" w:cs="仿宋_GB2312"/>
          <w:kern w:val="0"/>
          <w:sz w:val="32"/>
          <w:szCs w:val="32"/>
          <w:u w:val="none"/>
        </w:rPr>
        <w:t xml:space="preserve">万元，与年初预算相比减少 </w:t>
      </w:r>
      <w:r>
        <w:rPr>
          <w:rFonts w:hint="eastAsia" w:ascii="仿宋_GB2312" w:hAnsi="仿宋_GB2312" w:eastAsia="仿宋_GB2312" w:cs="仿宋_GB2312"/>
          <w:kern w:val="0"/>
          <w:sz w:val="32"/>
          <w:szCs w:val="32"/>
          <w:u w:val="none"/>
          <w:lang w:val="en-US" w:eastAsia="zh-CN"/>
        </w:rPr>
        <w:t>14.53</w:t>
      </w:r>
      <w:r>
        <w:rPr>
          <w:rFonts w:hint="eastAsia" w:ascii="仿宋_GB2312" w:hAnsi="仿宋_GB2312" w:eastAsia="仿宋_GB2312" w:cs="仿宋_GB2312"/>
          <w:kern w:val="0"/>
          <w:sz w:val="32"/>
          <w:szCs w:val="32"/>
          <w:u w:val="none"/>
        </w:rPr>
        <w:t>万元。其中：</w:t>
      </w:r>
    </w:p>
    <w:p w14:paraId="5BFE58F3">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    1．行政事业单位养老支出（款）行政单位离退休（项）。年初预算</w:t>
      </w:r>
      <w:r>
        <w:rPr>
          <w:rFonts w:hint="eastAsia" w:ascii="仿宋_GB2312" w:hAnsi="仿宋_GB2312" w:eastAsia="仿宋_GB2312" w:cs="仿宋_GB2312"/>
          <w:kern w:val="0"/>
          <w:sz w:val="32"/>
          <w:szCs w:val="32"/>
          <w:u w:val="single"/>
          <w:lang w:val="en-US" w:eastAsia="zh-CN"/>
        </w:rPr>
        <w:t>26.03</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33.33</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128.04</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6月份养老保险基数发生变化</w:t>
      </w:r>
      <w:r>
        <w:rPr>
          <w:rFonts w:hint="eastAsia" w:ascii="仿宋_GB2312" w:hAnsi="仿宋_GB2312" w:eastAsia="仿宋_GB2312" w:cs="仿宋_GB2312"/>
          <w:kern w:val="0"/>
          <w:sz w:val="32"/>
          <w:szCs w:val="32"/>
        </w:rPr>
        <w:t>。</w:t>
      </w:r>
    </w:p>
    <w:p w14:paraId="39C61055">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2．行政事业单位养老支出（款）</w:t>
      </w:r>
      <w:r>
        <w:rPr>
          <w:rFonts w:hint="eastAsia" w:ascii="仿宋_GB2312" w:hAnsi="仿宋_GB2312" w:eastAsia="仿宋_GB2312" w:cs="仿宋_GB2312"/>
          <w:kern w:val="0"/>
          <w:sz w:val="32"/>
          <w:szCs w:val="32"/>
          <w:lang w:eastAsia="zh-CN"/>
        </w:rPr>
        <w:t>机关事业单位基本养老保险缴费支出</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51.34</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55.18</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107.47</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6月份保险基数发生变化。</w:t>
      </w:r>
    </w:p>
    <w:p w14:paraId="06E389DC">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3</w:t>
      </w:r>
      <w:r>
        <w:rPr>
          <w:rFonts w:hint="eastAsia" w:ascii="仿宋_GB2312" w:hAnsi="仿宋_GB2312" w:eastAsia="仿宋_GB2312" w:cs="仿宋_GB2312"/>
          <w:kern w:val="0"/>
          <w:sz w:val="32"/>
          <w:szCs w:val="32"/>
        </w:rPr>
        <w:t>．行政事业单位养老支出（款）机关事业单位职业年金缴费支出（项）。年初预算</w:t>
      </w:r>
      <w:r>
        <w:rPr>
          <w:rFonts w:hint="eastAsia" w:ascii="仿宋_GB2312" w:hAnsi="仿宋_GB2312" w:eastAsia="仿宋_GB2312" w:cs="仿宋_GB2312"/>
          <w:kern w:val="0"/>
          <w:sz w:val="32"/>
          <w:szCs w:val="32"/>
          <w:u w:val="single"/>
          <w:lang w:val="en-US" w:eastAsia="zh-CN"/>
        </w:rPr>
        <w:t>25.67</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eastAsia="zh-CN"/>
        </w:rPr>
        <w:t>我单位</w:t>
      </w:r>
      <w:r>
        <w:rPr>
          <w:rFonts w:hint="eastAsia" w:ascii="仿宋_GB2312" w:hAnsi="仿宋_GB2312" w:eastAsia="仿宋_GB2312" w:cs="仿宋_GB2312"/>
          <w:kern w:val="0"/>
          <w:sz w:val="32"/>
          <w:szCs w:val="32"/>
          <w:lang w:val="en-US" w:eastAsia="zh-CN"/>
        </w:rPr>
        <w:t>24年无退休人员，职业年金退休时做实</w:t>
      </w:r>
      <w:r>
        <w:rPr>
          <w:rFonts w:hint="eastAsia" w:ascii="仿宋_GB2312" w:hAnsi="仿宋_GB2312" w:eastAsia="仿宋_GB2312" w:cs="仿宋_GB2312"/>
          <w:kern w:val="0"/>
          <w:sz w:val="32"/>
          <w:szCs w:val="32"/>
        </w:rPr>
        <w:t>。</w:t>
      </w:r>
    </w:p>
    <w:p w14:paraId="20E1EA4C">
      <w:pPr>
        <w:keepNext w:val="0"/>
        <w:keepLines w:val="0"/>
        <w:pageBreakBefore w:val="0"/>
        <w:widowControl/>
        <w:kinsoku/>
        <w:wordWrap/>
        <w:overflowPunct/>
        <w:topLinePunct w:val="0"/>
        <w:autoSpaceDE/>
        <w:autoSpaceDN/>
        <w:bidi w:val="0"/>
        <w:adjustRightInd/>
        <w:snapToGrid/>
        <w:spacing w:line="560" w:lineRule="exact"/>
        <w:ind w:firstLine="303" w:firstLineChars="112"/>
        <w:jc w:val="both"/>
        <w:textAlignment w:val="auto"/>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xml:space="preserve">  </w:t>
      </w:r>
      <w:r>
        <w:rPr>
          <w:rFonts w:hint="eastAsia" w:ascii="楷体" w:hAnsi="楷体" w:eastAsia="楷体" w:cs="楷体"/>
          <w:b/>
          <w:bCs/>
          <w:kern w:val="0"/>
          <w:sz w:val="32"/>
          <w:szCs w:val="32"/>
        </w:rPr>
        <w:t>  （</w:t>
      </w:r>
      <w:r>
        <w:rPr>
          <w:rFonts w:hint="eastAsia" w:ascii="楷体" w:hAnsi="楷体" w:eastAsia="楷体" w:cs="楷体"/>
          <w:b/>
          <w:bCs/>
          <w:kern w:val="0"/>
          <w:sz w:val="32"/>
          <w:szCs w:val="32"/>
          <w:lang w:eastAsia="zh-CN"/>
        </w:rPr>
        <w:t>三</w:t>
      </w:r>
      <w:r>
        <w:rPr>
          <w:rFonts w:hint="eastAsia" w:ascii="楷体" w:hAnsi="楷体" w:eastAsia="楷体" w:cs="楷体"/>
          <w:b/>
          <w:bCs/>
          <w:kern w:val="0"/>
          <w:sz w:val="32"/>
          <w:szCs w:val="32"/>
        </w:rPr>
        <w:t>）卫生健康支出（类）</w:t>
      </w:r>
    </w:p>
    <w:p w14:paraId="63221C5A">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highlight w:val="none"/>
        </w:rPr>
      </w:pPr>
      <w:r>
        <w:rPr>
          <w:rFonts w:ascii="fang_song_gb2312" w:hAnsi="fang_song_gb2312" w:eastAsia="fang_song_gb2312" w:cs="fang_song_gb2312"/>
          <w:kern w:val="0"/>
          <w:sz w:val="27"/>
          <w:szCs w:val="27"/>
        </w:rPr>
        <w:t>   </w:t>
      </w:r>
      <w:r>
        <w:rPr>
          <w:rFonts w:hint="eastAsia" w:ascii="仿宋_GB2312" w:hAnsi="仿宋_GB2312" w:eastAsia="仿宋_GB2312" w:cs="仿宋_GB2312"/>
          <w:kern w:val="0"/>
          <w:sz w:val="32"/>
          <w:szCs w:val="32"/>
        </w:rPr>
        <w:t xml:space="preserve"> 卫生健康支出类决算数为</w:t>
      </w:r>
      <w:r>
        <w:rPr>
          <w:rFonts w:hint="eastAsia" w:ascii="仿宋_GB2312" w:hAnsi="仿宋_GB2312" w:eastAsia="仿宋_GB2312" w:cs="仿宋_GB2312"/>
          <w:kern w:val="0"/>
          <w:sz w:val="32"/>
          <w:szCs w:val="32"/>
          <w:highlight w:val="none"/>
          <w:u w:val="single"/>
          <w:lang w:val="en-US" w:eastAsia="zh-CN"/>
        </w:rPr>
        <w:t>2688.84</w:t>
      </w:r>
      <w:r>
        <w:rPr>
          <w:rFonts w:hint="eastAsia" w:ascii="仿宋_GB2312" w:hAnsi="仿宋_GB2312" w:eastAsia="仿宋_GB2312" w:cs="仿宋_GB2312"/>
          <w:kern w:val="0"/>
          <w:sz w:val="32"/>
          <w:szCs w:val="32"/>
          <w:highlight w:val="none"/>
        </w:rPr>
        <w:t>万元，与年初预算相比</w:t>
      </w:r>
      <w:r>
        <w:rPr>
          <w:rFonts w:hint="eastAsia" w:ascii="仿宋_GB2312" w:hAnsi="仿宋_GB2312" w:eastAsia="仿宋_GB2312" w:cs="仿宋_GB2312"/>
          <w:kern w:val="0"/>
          <w:sz w:val="32"/>
          <w:szCs w:val="32"/>
          <w:highlight w:val="none"/>
          <w:lang w:val="en-US" w:eastAsia="zh-CN"/>
        </w:rPr>
        <w:t>减少49.33</w:t>
      </w:r>
      <w:r>
        <w:rPr>
          <w:rFonts w:hint="eastAsia" w:ascii="仿宋_GB2312" w:hAnsi="仿宋_GB2312" w:eastAsia="仿宋_GB2312" w:cs="仿宋_GB2312"/>
          <w:kern w:val="0"/>
          <w:sz w:val="32"/>
          <w:szCs w:val="32"/>
          <w:highlight w:val="none"/>
        </w:rPr>
        <w:t>万元。其中：</w:t>
      </w:r>
    </w:p>
    <w:p w14:paraId="01E00D16">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w:t>
      </w:r>
      <w:r>
        <w:rPr>
          <w:rFonts w:hint="eastAsia" w:ascii="仿宋_GB2312" w:hAnsi="仿宋_GB2312" w:eastAsia="仿宋_GB2312" w:cs="仿宋_GB2312"/>
          <w:kern w:val="0"/>
          <w:sz w:val="32"/>
          <w:szCs w:val="32"/>
          <w:lang w:eastAsia="zh-CN"/>
        </w:rPr>
        <w:t>卫生健康管理事务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行政运行</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334.24</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385.96</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115.47</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我单位在职人员较去年增加3人</w:t>
      </w:r>
      <w:r>
        <w:rPr>
          <w:rFonts w:hint="eastAsia" w:ascii="仿宋_GB2312" w:hAnsi="仿宋_GB2312" w:eastAsia="仿宋_GB2312" w:cs="仿宋_GB2312"/>
          <w:kern w:val="0"/>
          <w:sz w:val="32"/>
          <w:szCs w:val="32"/>
          <w:lang w:eastAsia="zh-CN"/>
        </w:rPr>
        <w:t>。</w:t>
      </w:r>
    </w:p>
    <w:p w14:paraId="1A711A9D">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卫生健康管理事务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一般行政管理事务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106</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111.22</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104.92</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上年结转结余资金今年进行支出。</w:t>
      </w:r>
    </w:p>
    <w:p w14:paraId="727D1BF5">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kern w:val="0"/>
          <w:sz w:val="32"/>
          <w:szCs w:val="32"/>
          <w:lang w:eastAsia="zh-CN"/>
        </w:rPr>
        <w:t>卫生健康管理事务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机关服务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136.86</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128.83</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94.13</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eastAsia="zh-CN"/>
        </w:rPr>
        <w:t>年中我单位有人员调出调进工资产生差额</w:t>
      </w:r>
      <w:r>
        <w:rPr>
          <w:rFonts w:hint="eastAsia" w:ascii="仿宋_GB2312" w:hAnsi="仿宋_GB2312" w:eastAsia="仿宋_GB2312" w:cs="仿宋_GB2312"/>
          <w:kern w:val="0"/>
          <w:sz w:val="32"/>
          <w:szCs w:val="32"/>
        </w:rPr>
        <w:t>。</w:t>
      </w:r>
    </w:p>
    <w:p w14:paraId="28FE9F96">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ascii="Times New Roman" w:hAnsi="Times New Roman" w:eastAsia="Times New Roman" w:cs="Times New Roman"/>
          <w:kern w:val="0"/>
          <w:sz w:val="24"/>
          <w:highlight w:val="none"/>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卫生健康管理事务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其他卫生健康管理事务支出</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1429</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1548.47</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108.36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highlight w:val="none"/>
        </w:rPr>
        <w:t>决算数与年初预算数的差异原因：</w:t>
      </w:r>
      <w:r>
        <w:rPr>
          <w:rFonts w:hint="eastAsia" w:ascii="仿宋_GB2312" w:hAnsi="仿宋_GB2312" w:eastAsia="仿宋_GB2312" w:cs="仿宋_GB2312"/>
          <w:kern w:val="0"/>
          <w:sz w:val="32"/>
          <w:szCs w:val="32"/>
          <w:highlight w:val="none"/>
          <w:lang w:val="en-US" w:eastAsia="zh-CN"/>
        </w:rPr>
        <w:t>年末乌海市科技局划拨我单位2024年乌海市医疗卫生创新性科研项目经费150.1万元</w:t>
      </w:r>
      <w:r>
        <w:rPr>
          <w:rFonts w:hint="eastAsia" w:ascii="仿宋" w:hAnsi="仿宋" w:eastAsia="仿宋" w:cs="仿宋"/>
          <w:kern w:val="0"/>
          <w:sz w:val="32"/>
          <w:szCs w:val="32"/>
          <w:highlight w:val="none"/>
          <w:lang w:val="en-US" w:eastAsia="zh-CN"/>
        </w:rPr>
        <w:t>拨付公立医院。</w:t>
      </w:r>
    </w:p>
    <w:p w14:paraId="27E9DA50">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rPr>
      </w:pPr>
      <w:r>
        <w:rPr>
          <w:rFonts w:ascii="fang_song_gb2312" w:hAnsi="fang_song_gb2312" w:eastAsia="fang_song_gb2312" w:cs="fang_song_gb2312"/>
          <w:kern w:val="0"/>
          <w:sz w:val="27"/>
          <w:szCs w:val="27"/>
        </w:rPr>
        <w:t xml:space="preserve">  </w:t>
      </w:r>
      <w:r>
        <w:rPr>
          <w:rFonts w:hint="eastAsia" w:ascii="fang_song_gb2312" w:hAnsi="fang_song_gb2312" w:cs="fang_song_gb2312"/>
          <w:kern w:val="0"/>
          <w:sz w:val="27"/>
          <w:szCs w:val="27"/>
          <w:lang w:val="en-US" w:eastAsia="zh-CN"/>
        </w:rPr>
        <w:t xml:space="preserve"> </w:t>
      </w:r>
      <w:r>
        <w:rPr>
          <w:rFonts w:ascii="fang_song_gb2312" w:hAnsi="fang_song_gb2312" w:eastAsia="fang_song_gb2312" w:cs="fang_song_gb2312"/>
          <w:kern w:val="0"/>
          <w:sz w:val="27"/>
          <w:szCs w:val="27"/>
        </w:rPr>
        <w:t>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公立医院</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其他公立医院支出</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273.29</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59.95</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21.94</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年初预算属于上级拨款以前年度结转结余资金，因公立医院经济运行平台还未完成验收故剩余资金未付</w:t>
      </w:r>
      <w:r>
        <w:rPr>
          <w:rFonts w:hint="eastAsia" w:ascii="仿宋_GB2312" w:hAnsi="仿宋_GB2312" w:eastAsia="仿宋_GB2312" w:cs="仿宋_GB2312"/>
          <w:kern w:val="0"/>
          <w:sz w:val="32"/>
          <w:szCs w:val="32"/>
        </w:rPr>
        <w:t>。</w:t>
      </w:r>
    </w:p>
    <w:p w14:paraId="2290048B">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lang w:val="en-US" w:eastAsia="zh-CN"/>
        </w:rPr>
      </w:pPr>
      <w:r>
        <w:rPr>
          <w:rFonts w:ascii="fang_song_gb2312" w:hAnsi="fang_song_gb2312" w:eastAsia="fang_song_gb2312" w:cs="fang_song_gb2312"/>
          <w:kern w:val="0"/>
          <w:sz w:val="27"/>
          <w:szCs w:val="27"/>
        </w:rPr>
        <w:t xml:space="preserve"> </w:t>
      </w: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基本公共卫生服务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0.01</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该项目属于以前年度结转结余资金，该项目已经完成。</w:t>
      </w:r>
    </w:p>
    <w:p w14:paraId="7B1FD31D">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重大公共卫生服务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5</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4.78</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95.6</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该项目属于上级拨款，该项目已经完成剩余0.22上缴国库</w:t>
      </w:r>
      <w:r>
        <w:rPr>
          <w:rFonts w:hint="eastAsia" w:ascii="仿宋_GB2312" w:hAnsi="仿宋_GB2312" w:eastAsia="仿宋_GB2312" w:cs="仿宋_GB2312"/>
          <w:kern w:val="0"/>
          <w:sz w:val="32"/>
          <w:szCs w:val="32"/>
        </w:rPr>
        <w:t>。</w:t>
      </w:r>
    </w:p>
    <w:p w14:paraId="4BEE1B4A">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突发公共卫生事件应急处理</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2.07</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100</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eastAsia="zh-CN"/>
        </w:rPr>
        <w:t>该笔资金属于</w:t>
      </w:r>
      <w:r>
        <w:rPr>
          <w:rFonts w:hint="eastAsia" w:ascii="仿宋_GB2312" w:hAnsi="仿宋_GB2312" w:eastAsia="仿宋_GB2312" w:cs="仿宋_GB2312"/>
          <w:kern w:val="0"/>
          <w:sz w:val="32"/>
          <w:szCs w:val="32"/>
          <w:lang w:val="en-US" w:eastAsia="zh-CN"/>
        </w:rPr>
        <w:t>上级</w:t>
      </w:r>
      <w:r>
        <w:rPr>
          <w:rFonts w:hint="eastAsia" w:ascii="仿宋_GB2312" w:hAnsi="仿宋_GB2312" w:eastAsia="仿宋_GB2312" w:cs="仿宋_GB2312"/>
          <w:kern w:val="0"/>
          <w:sz w:val="32"/>
          <w:szCs w:val="32"/>
          <w:lang w:eastAsia="zh-CN"/>
        </w:rPr>
        <w:t>拨款，我单位年初</w:t>
      </w:r>
      <w:r>
        <w:rPr>
          <w:rFonts w:hint="eastAsia" w:ascii="仿宋_GB2312" w:hAnsi="仿宋_GB2312" w:eastAsia="仿宋_GB2312" w:cs="仿宋_GB2312"/>
          <w:kern w:val="0"/>
          <w:sz w:val="32"/>
          <w:szCs w:val="32"/>
          <w:lang w:val="en-US" w:eastAsia="zh-CN"/>
        </w:rPr>
        <w:t>未做</w:t>
      </w:r>
      <w:r>
        <w:rPr>
          <w:rFonts w:hint="eastAsia" w:ascii="仿宋_GB2312" w:hAnsi="仿宋_GB2312" w:eastAsia="仿宋_GB2312" w:cs="仿宋_GB2312"/>
          <w:kern w:val="0"/>
          <w:sz w:val="32"/>
          <w:szCs w:val="32"/>
          <w:lang w:eastAsia="zh-CN"/>
        </w:rPr>
        <w:t>预算</w:t>
      </w:r>
      <w:r>
        <w:rPr>
          <w:rFonts w:hint="eastAsia" w:ascii="仿宋_GB2312" w:hAnsi="仿宋_GB2312" w:eastAsia="仿宋_GB2312" w:cs="仿宋_GB2312"/>
          <w:kern w:val="0"/>
          <w:sz w:val="32"/>
          <w:szCs w:val="32"/>
        </w:rPr>
        <w:t>。</w:t>
      </w:r>
    </w:p>
    <w:p w14:paraId="4C8F51F6">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计划生育事务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其他计划生育事务支出</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417.18</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411.81</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98.71</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eastAsia="zh-CN"/>
        </w:rPr>
        <w:t>我单位</w:t>
      </w:r>
      <w:r>
        <w:rPr>
          <w:rFonts w:hint="eastAsia" w:ascii="仿宋_GB2312" w:hAnsi="仿宋_GB2312" w:eastAsia="仿宋_GB2312" w:cs="仿宋_GB2312"/>
          <w:kern w:val="0"/>
          <w:sz w:val="32"/>
          <w:szCs w:val="32"/>
          <w:lang w:val="en-US" w:eastAsia="zh-CN"/>
        </w:rPr>
        <w:t>例行节约，对宣传品等购买支出减少。</w:t>
      </w:r>
    </w:p>
    <w:p w14:paraId="7B82F713">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p>
    <w:p w14:paraId="4424670C">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10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行政事业单位医疗</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行政单位医疗</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17.83</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19.03</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106.73</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6月份</w:t>
      </w:r>
      <w:r>
        <w:rPr>
          <w:rFonts w:hint="eastAsia" w:ascii="仿宋_GB2312" w:hAnsi="仿宋_GB2312" w:eastAsia="仿宋_GB2312" w:cs="仿宋_GB2312"/>
          <w:kern w:val="0"/>
          <w:sz w:val="32"/>
          <w:szCs w:val="32"/>
          <w:lang w:eastAsia="zh-CN"/>
        </w:rPr>
        <w:t>保险基数发生变化</w:t>
      </w:r>
      <w:r>
        <w:rPr>
          <w:rFonts w:hint="eastAsia" w:ascii="仿宋_GB2312" w:hAnsi="仿宋_GB2312" w:eastAsia="仿宋_GB2312" w:cs="仿宋_GB2312"/>
          <w:kern w:val="0"/>
          <w:sz w:val="32"/>
          <w:szCs w:val="32"/>
        </w:rPr>
        <w:t>。</w:t>
      </w:r>
    </w:p>
    <w:p w14:paraId="5F7F8744">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11</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行政事业单位医疗</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事业单位医疗</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11.76</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11.71</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99.57</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6月份</w:t>
      </w:r>
      <w:r>
        <w:rPr>
          <w:rFonts w:hint="eastAsia" w:ascii="仿宋_GB2312" w:hAnsi="仿宋_GB2312" w:eastAsia="仿宋_GB2312" w:cs="仿宋_GB2312"/>
          <w:kern w:val="0"/>
          <w:sz w:val="32"/>
          <w:szCs w:val="32"/>
          <w:lang w:eastAsia="zh-CN"/>
        </w:rPr>
        <w:t>保险基数发生变化</w:t>
      </w:r>
      <w:r>
        <w:rPr>
          <w:rFonts w:hint="eastAsia" w:ascii="仿宋_GB2312" w:hAnsi="仿宋_GB2312" w:eastAsia="仿宋_GB2312" w:cs="仿宋_GB2312"/>
          <w:kern w:val="0"/>
          <w:sz w:val="32"/>
          <w:szCs w:val="32"/>
        </w:rPr>
        <w:t>。</w:t>
      </w:r>
    </w:p>
    <w:p w14:paraId="791FA5A3">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老龄卫生健康事务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老龄卫生健康事务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7</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该项目2024年划拨乌海市民政局，我单位不做此项目支出</w:t>
      </w:r>
      <w:r>
        <w:rPr>
          <w:rFonts w:hint="eastAsia" w:ascii="仿宋_GB2312" w:hAnsi="仿宋_GB2312" w:eastAsia="仿宋_GB2312" w:cs="仿宋_GB2312"/>
          <w:kern w:val="0"/>
          <w:sz w:val="32"/>
          <w:szCs w:val="32"/>
        </w:rPr>
        <w:t>。</w:t>
      </w:r>
    </w:p>
    <w:p w14:paraId="3DA2C93C">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13</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中医药事务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val="en-US" w:eastAsia="zh-CN"/>
        </w:rPr>
        <w:t>中医（民族医）药专项</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100</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该项目是年末自治区中医药拨款我单位用支付中医药印刷费。</w:t>
      </w:r>
    </w:p>
    <w:p w14:paraId="1FF1F81F">
      <w:pPr>
        <w:keepNext w:val="0"/>
        <w:keepLines w:val="0"/>
        <w:pageBreakBefore w:val="0"/>
        <w:widowControl/>
        <w:kinsoku/>
        <w:wordWrap/>
        <w:overflowPunct/>
        <w:topLinePunct w:val="0"/>
        <w:autoSpaceDE/>
        <w:autoSpaceDN/>
        <w:bidi w:val="0"/>
        <w:adjustRightInd/>
        <w:snapToGrid/>
        <w:spacing w:line="560" w:lineRule="exact"/>
        <w:ind w:firstLine="303" w:firstLineChars="112"/>
        <w:jc w:val="both"/>
        <w:textAlignment w:val="auto"/>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color w:val="000000"/>
          <w:kern w:val="0"/>
          <w:sz w:val="32"/>
          <w:szCs w:val="32"/>
        </w:rPr>
        <w:t>（</w:t>
      </w:r>
      <w:r>
        <w:rPr>
          <w:rFonts w:hint="eastAsia" w:ascii="楷体" w:hAnsi="楷体" w:eastAsia="楷体" w:cs="楷体"/>
          <w:b/>
          <w:bCs/>
          <w:color w:val="000000"/>
          <w:kern w:val="0"/>
          <w:sz w:val="32"/>
          <w:szCs w:val="32"/>
          <w:lang w:val="en-US" w:eastAsia="zh-CN"/>
        </w:rPr>
        <w:t>四</w:t>
      </w:r>
      <w:r>
        <w:rPr>
          <w:rFonts w:hint="eastAsia" w:ascii="楷体" w:hAnsi="楷体" w:eastAsia="楷体" w:cs="楷体"/>
          <w:b/>
          <w:bCs/>
          <w:color w:val="000000"/>
          <w:kern w:val="0"/>
          <w:sz w:val="32"/>
          <w:szCs w:val="32"/>
        </w:rPr>
        <w:t>）住房保障支出（类）</w:t>
      </w:r>
    </w:p>
    <w:p w14:paraId="170387F4">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lang w:val="en-US" w:eastAsia="zh-CN"/>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kern w:val="0"/>
          <w:sz w:val="32"/>
          <w:szCs w:val="32"/>
          <w:lang w:val="en-US" w:eastAsia="zh-CN"/>
        </w:rPr>
        <w:t xml:space="preserve">   住房保障支出（类）决算数为 53.15万元，与年初预算相比增加5.81万元。其中：</w:t>
      </w:r>
    </w:p>
    <w:p w14:paraId="49AC217B">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lang w:val="en-US" w:eastAsia="zh-CN"/>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kern w:val="0"/>
          <w:sz w:val="32"/>
          <w:szCs w:val="32"/>
          <w:lang w:val="en-US" w:eastAsia="zh-CN"/>
        </w:rPr>
        <w:t xml:space="preserve">   1．住房改革支出（款）住房公积金（项）。年初预算47.34万元，支出决算53.15万元，完成年初预算的112.27%。决算数与年初预算数的差异原因：我单位今年新考入一人，调入两人。</w:t>
      </w:r>
    </w:p>
    <w:p w14:paraId="0EC04E48">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六、一般公共预算财政拨款基本支出决算情况说明</w:t>
      </w:r>
    </w:p>
    <w:p w14:paraId="574DFF7E">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lang w:val="en-US" w:eastAsia="zh-CN"/>
        </w:rPr>
      </w:pPr>
      <w:r>
        <w:rPr>
          <w:rFonts w:ascii="仿宋_GB2312" w:hAnsi="仿宋_GB2312" w:eastAsia="仿宋_GB2312" w:cs="仿宋_GB2312"/>
          <w:kern w:val="0"/>
          <w:sz w:val="27"/>
          <w:szCs w:val="27"/>
        </w:rPr>
        <w:t> </w:t>
      </w:r>
      <w:r>
        <w:rPr>
          <w:rFonts w:hint="eastAsia" w:ascii="仿宋_GB2312" w:hAnsi="仿宋_GB2312" w:eastAsia="仿宋_GB2312" w:cs="仿宋_GB2312"/>
          <w:kern w:val="0"/>
          <w:sz w:val="32"/>
          <w:szCs w:val="32"/>
          <w:lang w:val="en-US" w:eastAsia="zh-CN"/>
        </w:rPr>
        <w:t xml:space="preserve">   乌海市卫生健康委员会（本级） 2024年度一般公共预算财政拨款基本支出决算 683.51万元，其中：</w:t>
      </w:r>
    </w:p>
    <w:p w14:paraId="2DA59C90">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（一）人员经费 622.98万元。主要包括：基本工资191.63万元、津贴补贴156.02万元、奖金39.75万元、绩效工资57.73万元、机关事业单位基本养老保险缴费55.18万元、职工基本医疗保险缴费30.74万元、其他社会保障缴费6.89万元、住房公积金53.15万元、退休费31.91万元。</w:t>
      </w:r>
    </w:p>
    <w:p w14:paraId="72B1EDDD">
      <w:pPr>
        <w:keepNext w:val="0"/>
        <w:keepLines w:val="0"/>
        <w:pageBreakBefore w:val="0"/>
        <w:widowControl/>
        <w:kinsoku/>
        <w:wordWrap/>
        <w:overflowPunct/>
        <w:topLinePunct w:val="0"/>
        <w:autoSpaceDE/>
        <w:autoSpaceDN/>
        <w:bidi w:val="0"/>
        <w:adjustRightInd/>
        <w:snapToGrid/>
        <w:spacing w:line="560" w:lineRule="exact"/>
        <w:ind w:firstLine="304" w:firstLineChars="112"/>
        <w:jc w:val="both"/>
        <w:textAlignment w:val="auto"/>
        <w:rPr>
          <w:rFonts w:eastAsia="Times New Roman"/>
          <w:kern w:val="0"/>
          <w:sz w:val="24"/>
        </w:rPr>
      </w:pPr>
      <w:r>
        <w:rPr>
          <w:rFonts w:ascii="仿宋_GB2312" w:hAnsi="仿宋_GB2312" w:eastAsia="仿宋_GB2312" w:cs="仿宋_GB2312"/>
          <w:b/>
          <w:bCs/>
          <w:color w:val="000000"/>
          <w:kern w:val="0"/>
          <w:sz w:val="27"/>
          <w:szCs w:val="27"/>
        </w:rPr>
        <w:t xml:space="preserve">    </w:t>
      </w:r>
      <w:r>
        <w:rPr>
          <w:rFonts w:hint="eastAsia" w:ascii="仿宋_GB2312" w:hAnsi="仿宋_GB2312" w:eastAsia="仿宋_GB2312" w:cs="仿宋_GB2312"/>
          <w:kern w:val="0"/>
          <w:sz w:val="32"/>
          <w:szCs w:val="32"/>
          <w:lang w:val="en-US" w:eastAsia="zh-CN"/>
        </w:rPr>
        <w:t>（二）公用经费 60.52万元。主要包括：办公费5.75万元、差旅费3万元、培训费9.1万元、公务接待费1万元、劳务费5万元、工会经费7.28万元、福利费10.23万元、其他交通费用17.64万元、其他商品和服务支出1.43万元。</w:t>
      </w:r>
    </w:p>
    <w:p w14:paraId="5A47233C">
      <w:pPr>
        <w:keepNext w:val="0"/>
        <w:keepLines w:val="0"/>
        <w:pageBreakBefore w:val="0"/>
        <w:widowControl/>
        <w:kinsoku/>
        <w:wordWrap/>
        <w:overflowPunct/>
        <w:topLinePunct w:val="0"/>
        <w:autoSpaceDE/>
        <w:autoSpaceDN/>
        <w:bidi w:val="0"/>
        <w:adjustRightInd/>
        <w:snapToGrid/>
        <w:spacing w:line="560" w:lineRule="exact"/>
        <w:ind w:firstLine="303" w:firstLineChars="112"/>
        <w:jc w:val="both"/>
        <w:textAlignment w:val="auto"/>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黑体" w:hAnsi="黑体" w:eastAsia="黑体" w:cs="黑体"/>
          <w:b/>
          <w:bCs/>
          <w:kern w:val="0"/>
          <w:sz w:val="32"/>
          <w:szCs w:val="32"/>
        </w:rPr>
        <w:t>七、一般公共预算财政拨款项目支出决算情况说明</w:t>
      </w:r>
    </w:p>
    <w:p w14:paraId="52D4BBD2">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lang w:val="en-US" w:eastAsia="zh-CN"/>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xml:space="preserve"> </w:t>
      </w:r>
      <w:r>
        <w:rPr>
          <w:rFonts w:hint="eastAsia" w:ascii="仿宋_GB2312" w:hAnsi="仿宋_GB2312" w:eastAsia="仿宋_GB2312" w:cs="仿宋_GB2312"/>
          <w:kern w:val="0"/>
          <w:sz w:val="32"/>
          <w:szCs w:val="32"/>
          <w:lang w:val="en-US" w:eastAsia="zh-CN"/>
        </w:rPr>
        <w:t>乌海市卫生健康委员会（本级） 2024年度一般公共预算财政拨款项目支出决算 2154.28万元，其中：</w:t>
      </w:r>
    </w:p>
    <w:p w14:paraId="224CD23B">
      <w:pPr>
        <w:widowControl/>
        <w:spacing w:before="240" w:after="24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（一）工资福利支出 10.97万元。主要包括：其他工资福利支出1.97万元。说明：我单位三名长期聘用人员，年初做预算项目聘用人员工资用于支付聘用人员工资及保险。</w:t>
      </w:r>
    </w:p>
    <w:p w14:paraId="62E5D53C">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（二）商品和服务支出 1959.72万元。主要包括：办公费39.54万元、印刷费25.39万元、手续费0.09万元、邮电费2.3万元、差旅费25.33万元、维修（护）费4.68万元、租赁费1.45万元、专用材料费5.29万元、劳务费46.44万元、委托业务费107.92万元、其他商品和服务支出1701.29万元。</w:t>
      </w:r>
    </w:p>
    <w:p w14:paraId="74A8E4A3">
      <w:pPr>
        <w:keepNext w:val="0"/>
        <w:keepLines w:val="0"/>
        <w:pageBreakBefore w:val="0"/>
        <w:widowControl/>
        <w:kinsoku/>
        <w:wordWrap/>
        <w:overflowPunct/>
        <w:topLinePunct w:val="0"/>
        <w:autoSpaceDE/>
        <w:autoSpaceDN/>
        <w:bidi w:val="0"/>
        <w:adjustRightInd/>
        <w:snapToGrid/>
        <w:spacing w:line="560" w:lineRule="exact"/>
        <w:ind w:firstLine="304" w:firstLineChars="112"/>
        <w:jc w:val="both"/>
        <w:textAlignment w:val="auto"/>
        <w:rPr>
          <w:rFonts w:eastAsia="Times New Roman"/>
          <w:kern w:val="0"/>
          <w:sz w:val="24"/>
        </w:rPr>
      </w:pPr>
      <w:r>
        <w:rPr>
          <w:rFonts w:ascii="仿宋_GB2312" w:hAnsi="仿宋_GB2312" w:eastAsia="仿宋_GB2312" w:cs="仿宋_GB2312"/>
          <w:b/>
          <w:bCs/>
          <w:color w:val="000000"/>
          <w:kern w:val="0"/>
          <w:sz w:val="27"/>
          <w:szCs w:val="27"/>
        </w:rPr>
        <w:t xml:space="preserve">  </w:t>
      </w:r>
      <w:r>
        <w:rPr>
          <w:rFonts w:hint="eastAsia" w:ascii="仿宋_GB2312" w:hAnsi="仿宋_GB2312" w:eastAsia="仿宋_GB2312" w:cs="仿宋_GB2312"/>
          <w:kern w:val="0"/>
          <w:sz w:val="32"/>
          <w:szCs w:val="32"/>
          <w:lang w:val="en-US" w:eastAsia="zh-CN"/>
        </w:rPr>
        <w:t>  （三）资本性支出 68.28万元。主要包括：办公设备购置7.4万元、专用设备购置0.93万元、信息网络及软件购置更新59.95万元。</w:t>
      </w:r>
    </w:p>
    <w:p w14:paraId="2A609428">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八、财政拨款“三公”经费支出决算情况说明</w:t>
      </w:r>
    </w:p>
    <w:p w14:paraId="6AC385C6">
      <w:pPr>
        <w:widowControl/>
        <w:spacing w:before="240" w:after="240"/>
        <w:jc w:val="left"/>
        <w:rPr>
          <w:rFonts w:hint="eastAsia" w:ascii="楷体" w:hAnsi="楷体" w:eastAsia="楷体" w:cs="楷体"/>
          <w:kern w:val="0"/>
          <w:sz w:val="32"/>
          <w:szCs w:val="32"/>
        </w:rPr>
      </w:pPr>
      <w:r>
        <w:rPr>
          <w:rFonts w:hint="eastAsia" w:ascii="楷体" w:hAnsi="楷体" w:eastAsia="楷体" w:cs="楷体"/>
          <w:b/>
          <w:bCs/>
          <w:kern w:val="0"/>
          <w:sz w:val="32"/>
          <w:szCs w:val="32"/>
        </w:rPr>
        <w:t>    （一）财政拨款“三公”经费支出总体情况说明。</w:t>
      </w:r>
    </w:p>
    <w:p w14:paraId="79FC6617">
      <w:pPr>
        <w:widowControl/>
        <w:spacing w:before="240" w:after="240"/>
        <w:rPr>
          <w:rFonts w:eastAsia="Times New Roman"/>
          <w:kern w:val="0"/>
          <w:sz w:val="24"/>
        </w:rPr>
      </w:pPr>
      <w:r>
        <w:rPr>
          <w:rFonts w:ascii="仿宋_GB2312" w:hAnsi="仿宋_GB2312" w:eastAsia="仿宋_GB2312" w:cs="仿宋_GB2312"/>
          <w:kern w:val="0"/>
          <w:sz w:val="27"/>
          <w:szCs w:val="27"/>
        </w:rPr>
        <w:t>   </w:t>
      </w:r>
      <w:r>
        <w:rPr>
          <w:rFonts w:hint="eastAsia" w:ascii="仿宋_GB2312" w:hAnsi="仿宋_GB2312" w:eastAsia="仿宋_GB2312" w:cs="仿宋_GB2312"/>
          <w:kern w:val="0"/>
          <w:sz w:val="32"/>
          <w:szCs w:val="32"/>
          <w:lang w:val="en-US" w:eastAsia="zh-CN"/>
        </w:rPr>
        <w:t xml:space="preserve"> 乌海市卫生健康委员会（本级） 2024年度财政拨款“三公”经费全年预算 1.82万元，支出决算 1.09万元，完成预算的 59.90%。其中：因公出国（境）费全年预算 0万元，支出决算 0万元，完成预算的 0%；公务用车购置及运行维护费全年预算 0万元，支出决算 0万元，完成预算的 0%；公务接待费全年预算 1.82万元，支出决算 1.09万元，完成预算的 59.90%。</w:t>
      </w:r>
      <w:r>
        <w:rPr>
          <w:rFonts w:hint="eastAsia" w:ascii="仿宋" w:hAnsi="仿宋" w:eastAsia="仿宋" w:cs="仿宋"/>
          <w:color w:val="000000"/>
          <w:kern w:val="0"/>
          <w:sz w:val="32"/>
          <w:szCs w:val="32"/>
        </w:rPr>
        <w:t>2024年度一般公共预算财政拨款“三公”经费</w:t>
      </w:r>
      <w:r>
        <w:rPr>
          <w:rFonts w:hint="eastAsia" w:ascii="仿宋" w:hAnsi="仿宋" w:eastAsia="仿宋" w:cs="仿宋"/>
          <w:color w:val="000000"/>
          <w:kern w:val="0"/>
          <w:sz w:val="32"/>
          <w:szCs w:val="32"/>
          <w:lang w:val="en-US" w:eastAsia="zh-CN"/>
        </w:rPr>
        <w:t>支出决算与预算差异原因</w:t>
      </w:r>
      <w:r>
        <w:rPr>
          <w:rFonts w:hint="eastAsia" w:ascii="仿宋_GB2312" w:hAnsi="仿宋_GB2312" w:eastAsia="仿宋_GB2312" w:cs="Times New Roman"/>
          <w:color w:val="000000"/>
          <w:kern w:val="2"/>
          <w:sz w:val="32"/>
          <w:szCs w:val="24"/>
          <w:lang w:val="en-US" w:eastAsia="zh-CN"/>
        </w:rPr>
        <w:t>我部门本着例行节约原则根据工作任务需要进行接待任务产生公务接待费</w:t>
      </w:r>
      <w:r>
        <w:rPr>
          <w:rFonts w:hint="eastAsia" w:ascii="仿宋" w:hAnsi="仿宋" w:eastAsia="仿宋" w:cs="仿宋"/>
          <w:color w:val="000000"/>
          <w:kern w:val="0"/>
          <w:sz w:val="32"/>
          <w:szCs w:val="32"/>
        </w:rPr>
        <w:t>。</w:t>
      </w:r>
    </w:p>
    <w:p w14:paraId="17FB0259">
      <w:pPr>
        <w:widowControl/>
        <w:spacing w:before="240" w:after="240"/>
        <w:jc w:val="left"/>
        <w:rPr>
          <w:rFonts w:hint="eastAsia" w:ascii="楷体" w:hAnsi="楷体" w:eastAsia="楷体" w:cs="楷体"/>
          <w:kern w:val="0"/>
          <w:sz w:val="32"/>
          <w:szCs w:val="32"/>
        </w:rPr>
      </w:pPr>
      <w:r>
        <w:rPr>
          <w:rFonts w:hint="eastAsia" w:ascii="楷体" w:hAnsi="楷体" w:eastAsia="楷体" w:cs="楷体"/>
          <w:b/>
          <w:bCs/>
          <w:kern w:val="0"/>
          <w:sz w:val="32"/>
          <w:szCs w:val="32"/>
        </w:rPr>
        <w:t>    （二）财政拨款“三公”经费支出具体情况说明。</w:t>
      </w:r>
    </w:p>
    <w:p w14:paraId="23CFEA91">
      <w:pPr>
        <w:keepNext w:val="0"/>
        <w:keepLines w:val="0"/>
        <w:pageBreakBefore w:val="0"/>
        <w:widowControl/>
        <w:kinsoku/>
        <w:wordWrap/>
        <w:overflowPunct/>
        <w:topLinePunct w:val="0"/>
        <w:autoSpaceDE/>
        <w:autoSpaceDN/>
        <w:bidi w:val="0"/>
        <w:adjustRightInd/>
        <w:snapToGrid/>
        <w:spacing w:line="560" w:lineRule="exact"/>
        <w:ind w:firstLine="302" w:firstLineChars="112"/>
        <w:textAlignment w:val="auto"/>
        <w:rPr>
          <w:rFonts w:hint="eastAsia" w:ascii="仿宋_GB2312" w:hAnsi="仿宋_GB2312" w:eastAsia="仿宋_GB2312" w:cs="仿宋_GB2312"/>
          <w:kern w:val="0"/>
          <w:sz w:val="32"/>
          <w:szCs w:val="32"/>
          <w:lang w:val="en-US" w:eastAsia="zh-CN"/>
        </w:rPr>
      </w:pPr>
      <w:r>
        <w:rPr>
          <w:rFonts w:ascii="仿宋_GB2312" w:hAnsi="仿宋_GB2312" w:eastAsia="仿宋_GB2312" w:cs="仿宋_GB2312"/>
          <w:kern w:val="0"/>
          <w:sz w:val="27"/>
          <w:szCs w:val="27"/>
        </w:rPr>
        <w:t xml:space="preserve">    </w:t>
      </w:r>
      <w:r>
        <w:rPr>
          <w:rFonts w:hint="eastAsia" w:ascii="仿宋_GB2312" w:hAnsi="仿宋_GB2312" w:eastAsia="仿宋_GB2312" w:cs="仿宋_GB2312"/>
          <w:kern w:val="0"/>
          <w:sz w:val="32"/>
          <w:szCs w:val="32"/>
          <w:lang w:val="en-US" w:eastAsia="zh-CN"/>
        </w:rPr>
        <w:t>乌海市卫生健康委员会（本级） 2024年度财政拨款“三公”经费支出 1.09万元。因公出国（境）费支出 0万元，占 0%；公务用车购置及运行维护费支出 0万元，占 0%；公务接待费支出 1.09万元，占 100.00%。其中：</w:t>
      </w:r>
    </w:p>
    <w:p w14:paraId="51F264C1">
      <w:pPr>
        <w:keepNext w:val="0"/>
        <w:keepLines w:val="0"/>
        <w:pageBreakBefore w:val="0"/>
        <w:widowControl/>
        <w:kinsoku/>
        <w:wordWrap/>
        <w:overflowPunct/>
        <w:topLinePunct w:val="0"/>
        <w:autoSpaceDE/>
        <w:autoSpaceDN/>
        <w:bidi w:val="0"/>
        <w:adjustRightInd/>
        <w:snapToGrid/>
        <w:spacing w:line="560" w:lineRule="exact"/>
        <w:ind w:firstLine="302" w:firstLineChars="112"/>
        <w:textAlignment w:val="auto"/>
        <w:rPr>
          <w:rFonts w:hint="eastAsia" w:ascii="仿宋_GB2312" w:hAnsi="仿宋_GB2312" w:eastAsia="仿宋_GB2312" w:cs="仿宋_GB2312"/>
          <w:kern w:val="0"/>
          <w:sz w:val="32"/>
          <w:szCs w:val="32"/>
          <w:lang w:val="en-US" w:eastAsia="zh-CN"/>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kern w:val="0"/>
          <w:sz w:val="32"/>
          <w:szCs w:val="32"/>
          <w:lang w:val="en-US" w:eastAsia="zh-CN"/>
        </w:rPr>
        <w:t xml:space="preserve">   1.因公出国（境）费支出 0万元，全年出国（境）团组0 个，累计0 人次。与上年决算相比，增加 0万元，增长0%，变动原因：</w:t>
      </w:r>
      <w:r>
        <w:rPr>
          <w:rFonts w:hint="eastAsia" w:ascii="仿宋_GB2312" w:hAnsi="仿宋_GB2312" w:eastAsia="仿宋_GB2312" w:cs="仿宋_GB2312"/>
          <w:kern w:val="0"/>
          <w:sz w:val="32"/>
          <w:szCs w:val="32"/>
          <w:lang w:eastAsia="zh-CN"/>
        </w:rPr>
        <w:t>与上年相比无变动</w:t>
      </w:r>
      <w:r>
        <w:rPr>
          <w:rFonts w:hint="eastAsia" w:ascii="仿宋_GB2312" w:hAnsi="仿宋_GB2312" w:eastAsia="仿宋_GB2312" w:cs="仿宋_GB2312"/>
          <w:kern w:val="0"/>
          <w:sz w:val="32"/>
          <w:szCs w:val="32"/>
          <w:lang w:val="en-US" w:eastAsia="zh-CN"/>
        </w:rPr>
        <w:t>。</w:t>
      </w:r>
    </w:p>
    <w:p w14:paraId="27EA0420">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2.公务用车购置及运行维护费支出 0万元。其中：</w:t>
      </w:r>
    </w:p>
    <w:p w14:paraId="61D89621">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（1）公务用车购置支出 0万元。本年度使用财政拨款购置公务用车0 辆，开支内容：无。与上年决算相比，增加（减少） 0万元，增长（下降） 0%，变动原因：</w:t>
      </w:r>
      <w:r>
        <w:rPr>
          <w:rFonts w:hint="eastAsia" w:ascii="仿宋_GB2312" w:hAnsi="仿宋_GB2312" w:eastAsia="仿宋_GB2312" w:cs="仿宋_GB2312"/>
          <w:kern w:val="0"/>
          <w:sz w:val="32"/>
          <w:szCs w:val="32"/>
          <w:lang w:eastAsia="zh-CN"/>
        </w:rPr>
        <w:t>我单位不存在此项内容</w:t>
      </w:r>
      <w:r>
        <w:rPr>
          <w:rFonts w:hint="eastAsia" w:ascii="仿宋_GB2312" w:hAnsi="仿宋_GB2312" w:eastAsia="仿宋_GB2312" w:cs="仿宋_GB2312"/>
          <w:kern w:val="0"/>
          <w:sz w:val="32"/>
          <w:szCs w:val="32"/>
          <w:lang w:val="en-US" w:eastAsia="zh-CN"/>
        </w:rPr>
        <w:t>。</w:t>
      </w:r>
    </w:p>
    <w:p w14:paraId="6594B577">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（2）公务用车运行维护费支出 0万元。公务用车运行维护费主要用于按规定保留的公务用车的燃料费、维修费、过桥过路费、保险费、安全奖励费用等支出。截至2024年12月31日，使用财政拨款开支的公务用车保有量为0 辆。与上年决算相比，增加0万元，增长 0%，变动原因：</w:t>
      </w:r>
      <w:r>
        <w:rPr>
          <w:rFonts w:hint="eastAsia" w:ascii="仿宋_GB2312" w:hAnsi="仿宋_GB2312" w:eastAsia="仿宋_GB2312" w:cs="仿宋_GB2312"/>
          <w:kern w:val="0"/>
          <w:sz w:val="32"/>
          <w:szCs w:val="32"/>
          <w:lang w:eastAsia="zh-CN"/>
        </w:rPr>
        <w:t>我单位不存在此项内容</w:t>
      </w:r>
      <w:r>
        <w:rPr>
          <w:rFonts w:hint="eastAsia" w:ascii="仿宋_GB2312" w:hAnsi="仿宋_GB2312" w:eastAsia="仿宋_GB2312" w:cs="仿宋_GB2312"/>
          <w:kern w:val="0"/>
          <w:sz w:val="32"/>
          <w:szCs w:val="32"/>
          <w:lang w:val="en-US" w:eastAsia="zh-CN"/>
        </w:rPr>
        <w:t>。</w:t>
      </w:r>
    </w:p>
    <w:p w14:paraId="54208332">
      <w:pPr>
        <w:keepNext w:val="0"/>
        <w:keepLines w:val="0"/>
        <w:pageBreakBefore w:val="0"/>
        <w:widowControl/>
        <w:kinsoku/>
        <w:wordWrap/>
        <w:overflowPunct/>
        <w:topLinePunct w:val="0"/>
        <w:autoSpaceDE/>
        <w:autoSpaceDN/>
        <w:bidi w:val="0"/>
        <w:adjustRightInd/>
        <w:snapToGrid/>
        <w:spacing w:line="560" w:lineRule="exact"/>
        <w:ind w:firstLine="358" w:firstLineChars="112"/>
        <w:textAlignment w:val="auto"/>
        <w:rPr>
          <w:rFonts w:eastAsia="Times New Roman"/>
          <w:kern w:val="0"/>
          <w:sz w:val="24"/>
        </w:rPr>
      </w:pPr>
      <w:r>
        <w:rPr>
          <w:rFonts w:hint="eastAsia" w:ascii="仿宋_GB2312" w:hAnsi="仿宋_GB2312" w:eastAsia="仿宋_GB2312" w:cs="仿宋_GB2312"/>
          <w:kern w:val="0"/>
          <w:sz w:val="32"/>
          <w:szCs w:val="32"/>
          <w:lang w:val="en-US" w:eastAsia="zh-CN"/>
        </w:rPr>
        <w:t>    3.公务接待费支出 1.09万元。其中：国内公务接待支出 1.09万元，接待14 批次，91 人次，开支内容：</w:t>
      </w:r>
      <w:r>
        <w:rPr>
          <w:rFonts w:hint="eastAsia" w:ascii="仿宋_GB2312" w:hAnsi="仿宋_GB2312" w:eastAsia="仿宋_GB2312" w:cs="仿宋_GB2312"/>
          <w:kern w:val="0"/>
          <w:sz w:val="32"/>
          <w:szCs w:val="32"/>
          <w:lang w:eastAsia="zh-CN"/>
        </w:rPr>
        <w:t>接待自治区绩效考核、接待</w:t>
      </w:r>
      <w:r>
        <w:rPr>
          <w:rFonts w:hint="eastAsia" w:ascii="仿宋_GB2312" w:hAnsi="仿宋_GB2312" w:eastAsia="仿宋_GB2312" w:cs="仿宋_GB2312"/>
          <w:kern w:val="0"/>
          <w:sz w:val="32"/>
          <w:szCs w:val="32"/>
          <w:lang w:val="en-US" w:eastAsia="zh-CN"/>
        </w:rPr>
        <w:t>自治区监督检查等团队；国（境）外公务接待支出 0万元，接待0 批次，0 人次，开支内容：无。与上年决算相比，减少1.96万元，下降64.25%，变动原因：我单位例行节约。</w:t>
      </w:r>
    </w:p>
    <w:p w14:paraId="7E14B602">
      <w:pPr>
        <w:widowControl/>
        <w:spacing w:before="240" w:after="240"/>
        <w:jc w:val="left"/>
        <w:rPr>
          <w:rFonts w:eastAsia="Times New Roman"/>
          <w:kern w:val="0"/>
          <w:sz w:val="24"/>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九、政府性基金预算财政拨款支出决算情况说明</w:t>
      </w:r>
    </w:p>
    <w:p w14:paraId="3E3598D7">
      <w:pPr>
        <w:widowControl/>
        <w:spacing w:before="240" w:after="240"/>
        <w:rPr>
          <w:rFonts w:eastAsia="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 xml:space="preserve">  </w:t>
      </w:r>
      <w:r>
        <w:rPr>
          <w:rFonts w:hint="eastAsia" w:ascii="仿宋_GB2312" w:hAnsi="仿宋_GB2312" w:eastAsia="仿宋_GB2312" w:cs="仿宋_GB2312"/>
          <w:kern w:val="0"/>
          <w:sz w:val="32"/>
          <w:szCs w:val="32"/>
          <w:lang w:val="en-US" w:eastAsia="zh-CN"/>
        </w:rPr>
        <w:t>乌海市卫生健康委员会（本级） 2024年度政府性基金预算财政拨款支出决算 0万元。与上年决算相比，增加0万元，增长0%，变动原因：</w:t>
      </w:r>
      <w:r>
        <w:rPr>
          <w:rFonts w:hint="eastAsia" w:ascii="仿宋_GB2312" w:hAnsi="仿宋_GB2312" w:eastAsia="仿宋_GB2312" w:cs="仿宋_GB2312"/>
          <w:kern w:val="0"/>
          <w:sz w:val="32"/>
          <w:szCs w:val="32"/>
          <w:lang w:eastAsia="zh-CN"/>
        </w:rPr>
        <w:t>本单位无政府性基金预算财政拨款收、支、余</w:t>
      </w:r>
      <w:r>
        <w:rPr>
          <w:rFonts w:hint="eastAsia" w:ascii="仿宋_GB2312" w:hAnsi="仿宋_GB2312" w:eastAsia="仿宋_GB2312" w:cs="仿宋_GB2312"/>
          <w:kern w:val="0"/>
          <w:sz w:val="32"/>
          <w:szCs w:val="32"/>
          <w:lang w:val="en-US" w:eastAsia="zh-CN"/>
        </w:rPr>
        <w:t>。</w:t>
      </w:r>
    </w:p>
    <w:p w14:paraId="4EC9F793">
      <w:pPr>
        <w:widowControl/>
        <w:spacing w:before="240" w:after="240"/>
        <w:jc w:val="left"/>
        <w:rPr>
          <w:rFonts w:eastAsia="Times New Roman"/>
          <w:kern w:val="0"/>
          <w:sz w:val="24"/>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十、国有资本经营预算财政拨款支出决算情况说明</w:t>
      </w:r>
    </w:p>
    <w:p w14:paraId="09EE478E">
      <w:pPr>
        <w:widowControl/>
        <w:spacing w:before="240" w:after="240"/>
        <w:rPr>
          <w:rFonts w:eastAsia="Times New Roman"/>
          <w:kern w:val="0"/>
          <w:sz w:val="24"/>
        </w:rPr>
      </w:pPr>
      <w:r>
        <w:rPr>
          <w:rFonts w:hint="eastAsia" w:ascii="仿宋_GB2312" w:hAnsi="仿宋_GB2312" w:eastAsia="仿宋_GB2312" w:cs="仿宋_GB2312"/>
          <w:kern w:val="0"/>
          <w:sz w:val="32"/>
          <w:szCs w:val="32"/>
          <w:lang w:val="en-US" w:eastAsia="zh-CN"/>
        </w:rPr>
        <w:t>    乌海市卫生健康委员会（本级） 2024年度国有资本经营预算财政拨款支出决算 0万元。与上年决算相比，增加 0万元，增长 0%，变动原因：</w:t>
      </w:r>
      <w:r>
        <w:rPr>
          <w:rFonts w:hint="eastAsia" w:ascii="仿宋_GB2312" w:hAnsi="仿宋_GB2312" w:eastAsia="仿宋_GB2312" w:cs="仿宋_GB2312"/>
          <w:color w:val="auto"/>
          <w:kern w:val="2"/>
          <w:sz w:val="32"/>
          <w:szCs w:val="32"/>
        </w:rPr>
        <w:t>本单位无国有资本经营预算财政拨款收、支、余</w:t>
      </w:r>
      <w:r>
        <w:rPr>
          <w:rFonts w:hint="eastAsia" w:ascii="仿宋_GB2312" w:hAnsi="仿宋_GB2312" w:eastAsia="仿宋_GB2312" w:cs="仿宋_GB2312"/>
          <w:kern w:val="0"/>
          <w:sz w:val="32"/>
          <w:szCs w:val="32"/>
          <w:lang w:val="en-US" w:eastAsia="zh-CN"/>
        </w:rPr>
        <w:t>。   </w:t>
      </w:r>
    </w:p>
    <w:p w14:paraId="1D2B9775">
      <w:pPr>
        <w:widowControl/>
        <w:spacing w:before="240" w:after="240"/>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十一、机关运行经费（公用经费）支出决算情况说明</w:t>
      </w:r>
    </w:p>
    <w:p w14:paraId="578269DE">
      <w:pPr>
        <w:widowControl/>
        <w:spacing w:before="240" w:after="24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乌海市卫生健康委员会（本级） 2024年度公用经费支出决算 60.52万元，与上年决算相比，减少2.64万元，下降4.18%，变动原因：我单位例行节约。其中，机关运行经费支出决算 60.52万元。比上年决算相比，减少2.64万元，下降4.18%，变动原因：我单位例行节约。</w:t>
      </w:r>
    </w:p>
    <w:p w14:paraId="59DCA580">
      <w:pPr>
        <w:widowControl/>
        <w:spacing w:before="240" w:after="240"/>
        <w:rPr>
          <w:rFonts w:eastAsia="Times New Roman"/>
          <w:kern w:val="0"/>
          <w:sz w:val="32"/>
          <w:szCs w:val="32"/>
        </w:rPr>
      </w:pPr>
      <w:r>
        <w:rPr>
          <w:rFonts w:ascii="仿宋_GB2312" w:hAnsi="仿宋_GB2312" w:eastAsia="仿宋_GB2312" w:cs="仿宋_GB2312"/>
          <w:color w:val="1200FF"/>
          <w:kern w:val="0"/>
          <w:sz w:val="27"/>
          <w:szCs w:val="27"/>
        </w:rPr>
        <w:t> </w:t>
      </w:r>
      <w:r>
        <w:rPr>
          <w:rFonts w:ascii="仿宋_GB2312" w:hAnsi="仿宋_GB2312" w:eastAsia="仿宋_GB2312" w:cs="仿宋_GB2312"/>
          <w:color w:val="1200FF"/>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十二、政府采购支出决算情况说明</w:t>
      </w:r>
    </w:p>
    <w:p w14:paraId="4E527F2D">
      <w:pPr>
        <w:widowControl/>
        <w:spacing w:before="240" w:after="240"/>
        <w:rPr>
          <w:rFonts w:eastAsia="Times New Roman"/>
          <w:kern w:val="0"/>
          <w:sz w:val="24"/>
        </w:rPr>
      </w:pPr>
      <w:r>
        <w:rPr>
          <w:rFonts w:ascii="仿宋_GB2312" w:hAnsi="仿宋_GB2312" w:eastAsia="仿宋_GB2312" w:cs="仿宋_GB2312"/>
          <w:kern w:val="0"/>
          <w:sz w:val="27"/>
          <w:szCs w:val="27"/>
        </w:rPr>
        <w:t xml:space="preserve">  </w:t>
      </w:r>
      <w:r>
        <w:rPr>
          <w:rFonts w:hint="eastAsia" w:ascii="仿宋_GB2312" w:hAnsi="仿宋_GB2312" w:eastAsia="仿宋_GB2312" w:cs="仿宋_GB2312"/>
          <w:kern w:val="0"/>
          <w:sz w:val="32"/>
          <w:szCs w:val="32"/>
          <w:lang w:val="en-US" w:eastAsia="zh-CN"/>
        </w:rPr>
        <w:t>  乌海市卫生健康委员会（本级） 2024年度政府采购支出总额 0万元，其中：政府采购货物支出 0万元、政府采购工程支出 0万元、政府采购服务支出 0万元。政府采购授予中小企业合同金额 0万元，占政府采购支出总额的0%，其中：授予小微企业合同金额  0万元，占政府采购支出总额的0%；货物采购授予中小企业合同金额占货物支出金额的0%，工程采购授予中小企业合同金额占工程支出金额的0%，服务采购授予中小企业合同金额占服务支出金额的0%。</w:t>
      </w:r>
    </w:p>
    <w:p w14:paraId="22CA1B7D">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十三、国有资产占用情况说明</w:t>
      </w:r>
    </w:p>
    <w:p w14:paraId="4C823242">
      <w:pPr>
        <w:widowControl/>
        <w:spacing w:before="240" w:after="240"/>
        <w:rPr>
          <w:rFonts w:hint="eastAsia" w:ascii="仿宋_GB2312" w:hAnsi="仿宋_GB2312" w:eastAsia="仿宋_GB2312" w:cs="仿宋_GB2312"/>
          <w:kern w:val="0"/>
          <w:sz w:val="32"/>
          <w:szCs w:val="32"/>
          <w:lang w:val="en-US" w:eastAsia="zh-CN"/>
        </w:rPr>
      </w:pPr>
      <w:r>
        <w:rPr>
          <w:rFonts w:ascii="仿宋_GB2312" w:hAnsi="仿宋_GB2312" w:eastAsia="仿宋_GB2312" w:cs="仿宋_GB2312"/>
          <w:kern w:val="0"/>
          <w:sz w:val="27"/>
          <w:szCs w:val="27"/>
        </w:rPr>
        <w:t>   </w:t>
      </w:r>
      <w:r>
        <w:rPr>
          <w:rFonts w:hint="eastAsia" w:ascii="仿宋_GB2312" w:hAnsi="仿宋_GB2312" w:eastAsia="仿宋_GB2312" w:cs="仿宋_GB2312"/>
          <w:kern w:val="0"/>
          <w:sz w:val="32"/>
          <w:szCs w:val="32"/>
          <w:lang w:val="en-US" w:eastAsia="zh-CN"/>
        </w:rPr>
        <w:t xml:space="preserve"> 乌海市卫生健康委员会（本级） 截至2024年12月31日，本部门（单位）共有车辆 5辆，其中：副部（省）级及以上领导用车0 辆、主要负责人用车 0辆、机要通信用车 0辆、应急保障用车 1辆、执法执勤用车 0辆、特种专业技术用车 0辆、离退休干部服务用车 0辆，其他用车 4辆；单价100万元（含）以上的设备（不含车辆） 5台（套）。</w:t>
      </w:r>
    </w:p>
    <w:p w14:paraId="58D3A2BD">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十四、预算绩效情况说明</w:t>
      </w:r>
    </w:p>
    <w:p w14:paraId="27D41528">
      <w:pPr>
        <w:widowControl/>
        <w:spacing w:before="240" w:after="240"/>
        <w:jc w:val="left"/>
        <w:rPr>
          <w:rFonts w:hint="eastAsia" w:ascii="楷体" w:hAnsi="楷体" w:eastAsia="楷体" w:cs="楷体"/>
          <w:kern w:val="0"/>
          <w:sz w:val="32"/>
          <w:szCs w:val="32"/>
        </w:rPr>
      </w:pPr>
      <w:r>
        <w:rPr>
          <w:rFonts w:hint="eastAsia" w:ascii="楷体" w:hAnsi="楷体" w:eastAsia="楷体" w:cs="楷体"/>
          <w:b/>
          <w:bCs/>
          <w:kern w:val="0"/>
          <w:sz w:val="32"/>
          <w:szCs w:val="32"/>
        </w:rPr>
        <w:t>    （一）预算绩效管理工作开展情况。</w:t>
      </w:r>
    </w:p>
    <w:p w14:paraId="564DF8EF">
      <w:pPr>
        <w:widowControl/>
        <w:spacing w:before="240" w:after="240"/>
        <w:rPr>
          <w:rFonts w:eastAsia="Times New Roman"/>
          <w:kern w:val="0"/>
          <w:sz w:val="24"/>
        </w:rPr>
      </w:pPr>
      <w:r>
        <w:rPr>
          <w:rFonts w:hint="eastAsia" w:ascii="仿宋_GB2312" w:hAnsi="仿宋_GB2312" w:eastAsia="仿宋_GB2312" w:cs="仿宋_GB2312"/>
          <w:kern w:val="0"/>
          <w:sz w:val="32"/>
          <w:szCs w:val="32"/>
          <w:lang w:val="en-US" w:eastAsia="zh-CN"/>
        </w:rPr>
        <w:t>    乌海市卫生健康委员会（本级） 根据预算绩效管理要求组织对2024年一般公共预算项目支出全面开展绩效自评，其中一级项目0个，二级项目25个，共涉及资金2154.28万元，占一般公共预算项目支出总额的100%；政府性基金预算项目0个，其中，一级项目0 个，二级项目0个，共涉及资金0万元，占应纳入绩效自评的政府性基金预算项目支出总额的0%。</w:t>
      </w:r>
    </w:p>
    <w:p w14:paraId="733C4995">
      <w:pPr>
        <w:widowControl/>
        <w:spacing w:before="240" w:after="240"/>
        <w:ind w:firstLine="480"/>
        <w:rPr>
          <w:rFonts w:eastAsia="Times New Roman"/>
          <w:kern w:val="0"/>
          <w:sz w:val="24"/>
        </w:rPr>
      </w:pPr>
      <w:r>
        <w:rPr>
          <w:rFonts w:ascii="仿宋_GB2312" w:hAnsi="仿宋_GB2312" w:eastAsia="仿宋_GB2312" w:cs="仿宋_GB2312"/>
          <w:color w:val="000000"/>
          <w:kern w:val="0"/>
          <w:sz w:val="27"/>
          <w:szCs w:val="27"/>
        </w:rPr>
        <w:t>     </w:t>
      </w:r>
      <w:r>
        <w:rPr>
          <w:rFonts w:hint="eastAsia" w:ascii="仿宋_GB2312" w:eastAsia="仿宋_GB2312" w:cs="仿宋_GB2312"/>
          <w:sz w:val="32"/>
          <w:szCs w:val="32"/>
        </w:rPr>
        <w:t>我单位</w:t>
      </w:r>
      <w:r>
        <w:rPr>
          <w:rFonts w:hint="eastAsia" w:ascii="仿宋_GB2312" w:cs="仿宋_GB2312"/>
          <w:sz w:val="32"/>
          <w:szCs w:val="32"/>
        </w:rPr>
        <w:t>2024年</w:t>
      </w:r>
      <w:r>
        <w:rPr>
          <w:rFonts w:hint="eastAsia" w:ascii="仿宋_GB2312" w:eastAsia="仿宋_GB2312" w:cs="仿宋_GB2312"/>
          <w:sz w:val="32"/>
          <w:szCs w:val="32"/>
        </w:rPr>
        <w:t>度未开展重点评价。</w:t>
      </w:r>
    </w:p>
    <w:p w14:paraId="4CD9511F">
      <w:pPr>
        <w:widowControl/>
        <w:spacing w:before="240" w:after="240"/>
        <w:rPr>
          <w:rFonts w:eastAsia="Times New Roman"/>
          <w:kern w:val="0"/>
          <w:sz w:val="24"/>
        </w:rPr>
      </w:pPr>
    </w:p>
    <w:p w14:paraId="081CCAF1">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color w:val="000000"/>
          <w:kern w:val="0"/>
          <w:sz w:val="32"/>
          <w:szCs w:val="32"/>
        </w:rPr>
        <w:t>  （二）单位决算中项目绩效自评结果。</w:t>
      </w:r>
    </w:p>
    <w:p w14:paraId="1EA82C1B">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w:t>
      </w:r>
      <w:r>
        <w:rPr>
          <w:rFonts w:hint="eastAsia" w:ascii="仿宋" w:hAnsi="仿宋" w:eastAsia="仿宋" w:cs="仿宋"/>
          <w:color w:val="000000"/>
          <w:kern w:val="0"/>
          <w:sz w:val="32"/>
          <w:szCs w:val="32"/>
        </w:rPr>
        <w:t xml:space="preserve"> 乌海市卫生健康委员会（本级） 2024年度在决算中反映</w:t>
      </w:r>
      <w:r>
        <w:rPr>
          <w:rFonts w:hint="eastAsia" w:ascii="仿宋" w:hAnsi="仿宋" w:eastAsia="仿宋" w:cs="仿宋"/>
          <w:color w:val="000000"/>
          <w:kern w:val="0"/>
          <w:sz w:val="32"/>
          <w:szCs w:val="32"/>
          <w:u w:val="single" w:color="000000"/>
          <w:lang w:val="en-US" w:eastAsia="zh-CN"/>
        </w:rPr>
        <w:t>25</w:t>
      </w:r>
      <w:r>
        <w:rPr>
          <w:rFonts w:hint="eastAsia" w:ascii="仿宋" w:hAnsi="仿宋" w:eastAsia="仿宋" w:cs="仿宋"/>
          <w:color w:val="000000"/>
          <w:kern w:val="0"/>
          <w:sz w:val="32"/>
          <w:szCs w:val="32"/>
        </w:rPr>
        <w:t>个一般公共预算项目，以及</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个政府性基金项目，共</w:t>
      </w:r>
      <w:r>
        <w:rPr>
          <w:rFonts w:hint="eastAsia" w:ascii="仿宋" w:hAnsi="仿宋" w:eastAsia="仿宋" w:cs="仿宋"/>
          <w:color w:val="000000"/>
          <w:kern w:val="0"/>
          <w:sz w:val="32"/>
          <w:szCs w:val="32"/>
          <w:u w:val="single" w:color="000000"/>
          <w:lang w:val="en-US" w:eastAsia="zh-CN"/>
        </w:rPr>
        <w:t>5</w:t>
      </w:r>
      <w:r>
        <w:rPr>
          <w:rFonts w:hint="eastAsia" w:ascii="仿宋" w:hAnsi="仿宋" w:eastAsia="仿宋" w:cs="仿宋"/>
          <w:color w:val="000000"/>
          <w:kern w:val="0"/>
          <w:sz w:val="32"/>
          <w:szCs w:val="32"/>
        </w:rPr>
        <w:t>个项目的绩效自评结果。</w:t>
      </w:r>
    </w:p>
    <w:p w14:paraId="68553E85">
      <w:pPr>
        <w:widowControl/>
        <w:spacing w:before="240" w:after="240"/>
        <w:ind w:firstLine="320" w:firstLineChars="1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1.干部保健经费项目自评综述：根据年初设定的绩效目标，项目自评得分100分。全年预算数为80万元，执行数为80万元，完成预算的100%。项目绩效目标完成情况：用于支付退休老干部体检经费和保障医生服务费。发现的主要问题及原因：体检项目少。下一步改进措施：优化保健体检项目，跟踪体检存在问题，增加复查服务。</w:t>
      </w:r>
    </w:p>
    <w:p w14:paraId="1D452DBA">
      <w:pPr>
        <w:widowControl/>
        <w:spacing w:before="240" w:after="240"/>
        <w:ind w:firstLine="320" w:firstLineChars="100"/>
        <w:rPr>
          <w:rFonts w:hint="eastAsia" w:ascii="仿宋" w:hAnsi="仿宋" w:eastAsia="仿宋" w:cs="仿宋"/>
          <w:kern w:val="0"/>
          <w:sz w:val="32"/>
          <w:szCs w:val="32"/>
        </w:rPr>
      </w:pPr>
      <w:r>
        <w:rPr>
          <w:rFonts w:hint="eastAsia" w:ascii="仿宋" w:hAnsi="仿宋" w:eastAsia="仿宋" w:cs="仿宋"/>
          <w:color w:val="000000"/>
          <w:kern w:val="0"/>
          <w:sz w:val="32"/>
          <w:szCs w:val="32"/>
          <w:lang w:val="en-US" w:eastAsia="zh-CN"/>
        </w:rPr>
        <w:t xml:space="preserve"> 2</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食品安全检测风险</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1</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1</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拨付乌海市疾控中心用于食品安全检测</w:t>
      </w:r>
      <w:r>
        <w:rPr>
          <w:rFonts w:hint="eastAsia" w:ascii="仿宋" w:hAnsi="仿宋" w:eastAsia="仿宋" w:cs="仿宋"/>
          <w:color w:val="000000"/>
          <w:kern w:val="0"/>
          <w:sz w:val="32"/>
          <w:szCs w:val="32"/>
        </w:rPr>
        <w:t>。发现的主要问题及原</w:t>
      </w:r>
      <w:r>
        <w:rPr>
          <w:rFonts w:hint="eastAsia" w:ascii="仿宋" w:hAnsi="仿宋" w:eastAsia="仿宋" w:cs="仿宋"/>
          <w:color w:val="auto"/>
          <w:kern w:val="0"/>
          <w:sz w:val="32"/>
          <w:szCs w:val="32"/>
        </w:rPr>
        <w:t>因：</w:t>
      </w:r>
      <w:r>
        <w:rPr>
          <w:rFonts w:hint="eastAsia" w:ascii="仿宋" w:hAnsi="仿宋" w:eastAsia="仿宋" w:cs="仿宋"/>
          <w:color w:val="auto"/>
          <w:kern w:val="0"/>
          <w:sz w:val="32"/>
          <w:szCs w:val="32"/>
          <w:highlight w:val="none"/>
          <w:lang w:val="en-US" w:eastAsia="zh-CN"/>
        </w:rPr>
        <w:t>采集时限受限，人员不足</w:t>
      </w:r>
      <w:r>
        <w:rPr>
          <w:rFonts w:hint="eastAsia" w:ascii="仿宋" w:hAnsi="仿宋" w:eastAsia="仿宋" w:cs="仿宋"/>
          <w:color w:val="auto"/>
          <w:kern w:val="0"/>
          <w:sz w:val="32"/>
          <w:szCs w:val="32"/>
        </w:rPr>
        <w:t>。下一步改进措施：</w:t>
      </w:r>
      <w:r>
        <w:rPr>
          <w:rFonts w:hint="eastAsia" w:ascii="仿宋" w:hAnsi="仿宋" w:eastAsia="仿宋" w:cs="仿宋"/>
          <w:b w:val="0"/>
          <w:bCs/>
          <w:sz w:val="32"/>
          <w:szCs w:val="32"/>
          <w:lang w:eastAsia="zh-CN"/>
        </w:rPr>
        <w:t>与餐饮部门建立联动采集小组，明确采集时限</w:t>
      </w:r>
      <w:r>
        <w:rPr>
          <w:rFonts w:hint="eastAsia" w:ascii="仿宋" w:hAnsi="仿宋" w:eastAsia="仿宋" w:cs="仿宋"/>
          <w:color w:val="auto"/>
          <w:kern w:val="0"/>
          <w:sz w:val="32"/>
          <w:szCs w:val="32"/>
        </w:rPr>
        <w:t>。</w:t>
      </w:r>
    </w:p>
    <w:p w14:paraId="25706569">
      <w:pPr>
        <w:widowControl/>
        <w:spacing w:before="240" w:after="240"/>
        <w:ind w:firstLine="320" w:firstLineChars="10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免费产前筛查和新生儿疾病筛查</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79</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79</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拨付乌海市妇幼保健院用于产前筛查和新生儿疾病筛查</w:t>
      </w:r>
      <w:r>
        <w:rPr>
          <w:rFonts w:hint="eastAsia" w:ascii="仿宋" w:hAnsi="仿宋" w:eastAsia="仿宋" w:cs="仿宋"/>
          <w:color w:val="000000"/>
          <w:kern w:val="0"/>
          <w:sz w:val="32"/>
          <w:szCs w:val="32"/>
        </w:rPr>
        <w:t>。发现的主要问题及原</w:t>
      </w:r>
      <w:r>
        <w:rPr>
          <w:rFonts w:hint="eastAsia" w:ascii="仿宋" w:hAnsi="仿宋" w:eastAsia="仿宋" w:cs="仿宋"/>
          <w:color w:val="auto"/>
          <w:kern w:val="0"/>
          <w:sz w:val="32"/>
          <w:szCs w:val="32"/>
        </w:rPr>
        <w:t>因：</w:t>
      </w:r>
      <w:r>
        <w:rPr>
          <w:rFonts w:hint="eastAsia" w:ascii="仿宋" w:hAnsi="仿宋" w:eastAsia="仿宋" w:cs="仿宋"/>
          <w:color w:val="auto"/>
          <w:kern w:val="0"/>
          <w:sz w:val="32"/>
          <w:szCs w:val="32"/>
          <w:lang w:val="en-US" w:eastAsia="zh-CN"/>
        </w:rPr>
        <w:t>筛查人数减少</w:t>
      </w:r>
      <w:r>
        <w:rPr>
          <w:rFonts w:hint="eastAsia" w:ascii="仿宋" w:hAnsi="仿宋" w:eastAsia="仿宋" w:cs="仿宋"/>
          <w:color w:val="auto"/>
          <w:kern w:val="0"/>
          <w:sz w:val="32"/>
          <w:szCs w:val="32"/>
        </w:rPr>
        <w:t>。下一步改进措施：</w:t>
      </w:r>
      <w:r>
        <w:rPr>
          <w:rFonts w:hint="eastAsia" w:ascii="仿宋" w:hAnsi="仿宋" w:eastAsia="仿宋" w:cs="仿宋"/>
          <w:color w:val="auto"/>
          <w:kern w:val="0"/>
          <w:sz w:val="32"/>
          <w:szCs w:val="32"/>
          <w:lang w:val="en-US" w:eastAsia="zh-CN"/>
        </w:rPr>
        <w:t>做到应查尽查，降低缺陷患儿的出生</w:t>
      </w:r>
      <w:r>
        <w:rPr>
          <w:rFonts w:hint="eastAsia" w:ascii="仿宋" w:hAnsi="仿宋" w:eastAsia="仿宋" w:cs="仿宋"/>
          <w:color w:val="auto"/>
          <w:kern w:val="0"/>
          <w:sz w:val="32"/>
          <w:szCs w:val="32"/>
        </w:rPr>
        <w:t>。</w:t>
      </w:r>
    </w:p>
    <w:p w14:paraId="319EB540">
      <w:pPr>
        <w:widowControl/>
        <w:spacing w:before="240" w:after="240"/>
        <w:ind w:firstLine="640" w:firstLineChars="200"/>
        <w:rPr>
          <w:rFonts w:hint="eastAsia" w:ascii="仿宋" w:hAnsi="仿宋" w:eastAsia="仿宋" w:cs="仿宋"/>
          <w:color w:val="auto"/>
          <w:kern w:val="0"/>
          <w:sz w:val="32"/>
          <w:szCs w:val="32"/>
        </w:rPr>
      </w:pPr>
      <w:r>
        <w:rPr>
          <w:rFonts w:hint="eastAsia" w:ascii="仿宋" w:hAnsi="仿宋" w:eastAsia="仿宋" w:cs="仿宋"/>
          <w:color w:val="000000"/>
          <w:kern w:val="0"/>
          <w:sz w:val="32"/>
          <w:szCs w:val="32"/>
          <w:lang w:val="en-US" w:eastAsia="zh-CN"/>
        </w:rPr>
        <w:t>4</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健康驿站建设</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15.52</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15.52</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用于支付健康驿站尾款</w:t>
      </w:r>
      <w:r>
        <w:rPr>
          <w:rFonts w:hint="eastAsia" w:ascii="仿宋" w:hAnsi="仿宋" w:eastAsia="仿宋" w:cs="仿宋"/>
          <w:color w:val="000000"/>
          <w:kern w:val="0"/>
          <w:sz w:val="32"/>
          <w:szCs w:val="32"/>
        </w:rPr>
        <w:t>。发现的主要问题及原</w:t>
      </w:r>
      <w:r>
        <w:rPr>
          <w:rFonts w:hint="eastAsia" w:ascii="仿宋" w:hAnsi="仿宋" w:eastAsia="仿宋" w:cs="仿宋"/>
          <w:color w:val="auto"/>
          <w:kern w:val="0"/>
          <w:sz w:val="32"/>
          <w:szCs w:val="32"/>
        </w:rPr>
        <w:t>因：</w:t>
      </w:r>
      <w:r>
        <w:rPr>
          <w:rFonts w:hint="eastAsia" w:ascii="仿宋" w:hAnsi="仿宋" w:eastAsia="仿宋" w:cs="仿宋"/>
          <w:color w:val="auto"/>
          <w:kern w:val="0"/>
          <w:sz w:val="32"/>
          <w:szCs w:val="32"/>
          <w:lang w:val="en-US" w:eastAsia="zh-CN"/>
        </w:rPr>
        <w:t>了解的人少，宣传不到位</w:t>
      </w:r>
      <w:r>
        <w:rPr>
          <w:rFonts w:hint="eastAsia" w:ascii="仿宋" w:hAnsi="仿宋" w:eastAsia="仿宋" w:cs="仿宋"/>
          <w:color w:val="auto"/>
          <w:kern w:val="0"/>
          <w:sz w:val="32"/>
          <w:szCs w:val="32"/>
        </w:rPr>
        <w:t>。下一步改进措施：</w:t>
      </w:r>
      <w:r>
        <w:rPr>
          <w:rFonts w:hint="eastAsia" w:ascii="仿宋" w:hAnsi="仿宋" w:eastAsia="仿宋" w:cs="仿宋"/>
          <w:color w:val="auto"/>
          <w:kern w:val="0"/>
          <w:sz w:val="32"/>
          <w:szCs w:val="32"/>
          <w:highlight w:val="none"/>
          <w:lang w:val="en-US" w:eastAsia="zh-CN"/>
        </w:rPr>
        <w:t>增加宣传力度</w:t>
      </w:r>
      <w:r>
        <w:rPr>
          <w:rFonts w:hint="eastAsia" w:ascii="仿宋" w:hAnsi="仿宋" w:eastAsia="仿宋" w:cs="仿宋"/>
          <w:color w:val="auto"/>
          <w:kern w:val="0"/>
          <w:sz w:val="32"/>
          <w:szCs w:val="32"/>
        </w:rPr>
        <w:t>。</w:t>
      </w:r>
    </w:p>
    <w:p w14:paraId="66FD4FC8">
      <w:pPr>
        <w:widowControl/>
        <w:spacing w:before="240" w:after="240"/>
        <w:ind w:firstLine="320" w:firstLineChars="100"/>
        <w:rPr>
          <w:rFonts w:hint="eastAsia" w:ascii="仿宋" w:hAnsi="仿宋" w:eastAsia="仿宋" w:cs="仿宋"/>
          <w:color w:val="000000"/>
          <w:kern w:val="0"/>
          <w:sz w:val="32"/>
          <w:szCs w:val="32"/>
        </w:rPr>
      </w:pPr>
      <w:r>
        <w:rPr>
          <w:rFonts w:hint="eastAsia" w:ascii="仿宋" w:hAnsi="仿宋" w:eastAsia="仿宋" w:cs="仿宋"/>
          <w:color w:val="0E00FE"/>
          <w:kern w:val="0"/>
          <w:sz w:val="32"/>
          <w:szCs w:val="32"/>
        </w:rPr>
        <w:t xml:space="preserve"> </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新冠疫情人员补助</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2.07</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2.07</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拨付乌海市樱花医院用于新冠疫情医务人员补助</w:t>
      </w:r>
      <w:r>
        <w:rPr>
          <w:rFonts w:hint="eastAsia" w:ascii="仿宋" w:hAnsi="仿宋" w:eastAsia="仿宋" w:cs="仿宋"/>
          <w:color w:val="000000"/>
          <w:kern w:val="0"/>
          <w:sz w:val="32"/>
          <w:szCs w:val="32"/>
        </w:rPr>
        <w:t>。发现的主要问题及原</w:t>
      </w:r>
      <w:r>
        <w:rPr>
          <w:rFonts w:hint="eastAsia" w:ascii="仿宋" w:hAnsi="仿宋" w:eastAsia="仿宋" w:cs="仿宋"/>
          <w:color w:val="auto"/>
          <w:kern w:val="0"/>
          <w:sz w:val="32"/>
          <w:szCs w:val="32"/>
        </w:rPr>
        <w:t>因：</w:t>
      </w:r>
      <w:r>
        <w:rPr>
          <w:rFonts w:hint="eastAsia" w:ascii="仿宋" w:hAnsi="仿宋" w:eastAsia="仿宋" w:cs="仿宋"/>
          <w:color w:val="auto"/>
          <w:kern w:val="0"/>
          <w:sz w:val="32"/>
          <w:szCs w:val="32"/>
          <w:highlight w:val="none"/>
          <w:lang w:val="en-US" w:eastAsia="zh-CN"/>
        </w:rPr>
        <w:t>人员消耗较大</w:t>
      </w:r>
      <w:r>
        <w:rPr>
          <w:rFonts w:hint="eastAsia" w:ascii="仿宋" w:hAnsi="仿宋" w:eastAsia="仿宋" w:cs="仿宋"/>
          <w:color w:val="auto"/>
          <w:kern w:val="0"/>
          <w:sz w:val="32"/>
          <w:szCs w:val="32"/>
          <w:highlight w:val="none"/>
        </w:rPr>
        <w:t>。下一步改进措施：</w:t>
      </w:r>
      <w:r>
        <w:rPr>
          <w:rFonts w:hint="eastAsia" w:ascii="仿宋" w:hAnsi="仿宋" w:eastAsia="仿宋" w:cs="仿宋"/>
          <w:color w:val="auto"/>
          <w:kern w:val="0"/>
          <w:sz w:val="32"/>
          <w:szCs w:val="32"/>
          <w:highlight w:val="none"/>
          <w:lang w:val="en-US" w:eastAsia="zh-CN"/>
        </w:rPr>
        <w:t>加强专业技术人员培训</w:t>
      </w:r>
      <w:r>
        <w:rPr>
          <w:rFonts w:hint="eastAsia" w:ascii="仿宋" w:hAnsi="仿宋" w:eastAsia="仿宋" w:cs="仿宋"/>
          <w:color w:val="auto"/>
          <w:kern w:val="0"/>
          <w:sz w:val="32"/>
          <w:szCs w:val="32"/>
          <w:highlight w:val="none"/>
        </w:rPr>
        <w:t>。</w:t>
      </w:r>
    </w:p>
    <w:tbl>
      <w:tblPr>
        <w:tblStyle w:val="1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393"/>
        <w:gridCol w:w="420"/>
        <w:gridCol w:w="1093"/>
        <w:gridCol w:w="1010"/>
        <w:gridCol w:w="590"/>
        <w:gridCol w:w="604"/>
        <w:gridCol w:w="817"/>
        <w:gridCol w:w="1149"/>
        <w:gridCol w:w="864"/>
        <w:gridCol w:w="574"/>
        <w:gridCol w:w="896"/>
        <w:gridCol w:w="1458"/>
      </w:tblGrid>
      <w:tr w14:paraId="603F1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5A50AA5">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1701A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4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E3B41">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587"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225F5D2">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干部保健经费</w:t>
            </w:r>
          </w:p>
        </w:tc>
      </w:tr>
      <w:tr w14:paraId="0B4D6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C56DE">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6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B1B48C">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EBC3F3">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9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A494987">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5DF6C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41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6725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4D376">
            <w:pPr>
              <w:snapToGrid w:val="0"/>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38B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FD1C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5C0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5FE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95F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6F2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BA4F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2DCA5">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84D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36598">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68CF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82B8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959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ECE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EEA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65D51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BBAE93">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BB4EE">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80C4C">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B6C6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51B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72714">
            <w:pPr>
              <w:keepNext w:val="0"/>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A54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7D8B0">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A80B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01299">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DD0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84BDE">
            <w:pPr>
              <w:snapToGrid w:val="0"/>
              <w:rPr>
                <w:rFonts w:hint="eastAsia" w:ascii="宋体" w:hAnsi="宋体" w:eastAsia="宋体" w:cs="宋体"/>
                <w:i w:val="0"/>
                <w:iCs w:val="0"/>
                <w:color w:val="000000"/>
                <w:sz w:val="18"/>
                <w:szCs w:val="18"/>
                <w:u w:val="none"/>
              </w:rPr>
            </w:pP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3D89B">
            <w:pPr>
              <w:snapToGrid w:val="0"/>
              <w:jc w:val="center"/>
              <w:rPr>
                <w:rFonts w:hint="eastAsia" w:ascii="宋体" w:hAnsi="宋体" w:eastAsia="宋体" w:cs="宋体"/>
                <w:i w:val="0"/>
                <w:iCs w:val="0"/>
                <w:color w:val="000000"/>
                <w:sz w:val="18"/>
                <w:szCs w:val="18"/>
                <w:u w:val="none"/>
              </w:rPr>
            </w:pP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71F9F">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612E2">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69FA0">
            <w:pPr>
              <w:snapToGrid w:val="0"/>
              <w:jc w:val="center"/>
              <w:rPr>
                <w:rFonts w:hint="eastAsia" w:ascii="宋体" w:hAnsi="宋体" w:eastAsia="宋体" w:cs="宋体"/>
                <w:i w:val="0"/>
                <w:iCs w:val="0"/>
                <w:color w:val="000000"/>
                <w:sz w:val="18"/>
                <w:szCs w:val="18"/>
                <w:u w:val="none"/>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F5B97">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2F709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A955F">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AC5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E8B3F">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CA1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F69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ABF36">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D18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8D6D8">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8D1C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C3DD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0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16D1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50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7679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FE49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F57EEB">
            <w:pPr>
              <w:snapToGrid w:val="0"/>
              <w:jc w:val="center"/>
              <w:rPr>
                <w:rFonts w:hint="eastAsia" w:ascii="宋体" w:hAnsi="宋体" w:eastAsia="宋体" w:cs="宋体"/>
                <w:i w:val="0"/>
                <w:iCs w:val="0"/>
                <w:color w:val="000000"/>
                <w:sz w:val="18"/>
                <w:szCs w:val="18"/>
                <w:u w:val="none"/>
              </w:rPr>
            </w:pPr>
          </w:p>
        </w:tc>
        <w:tc>
          <w:tcPr>
            <w:tcW w:w="20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F0AC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提升市人民医院、中医蒙医医院作为干部保健基地的服务能力，组织保健干部健康体检服务，为四大班子在职保健干部配置家庭日常药箱，开展巡诊陪诊服务，优化疫苗接种服务，组织自我保健宣传。</w:t>
            </w:r>
          </w:p>
        </w:tc>
        <w:tc>
          <w:tcPr>
            <w:tcW w:w="250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EFC4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提升市人民医院、中医蒙医医院作为干部保健基地的服务能力，组织保健干部健康体检服务，为四大班子在职保健干部配置家庭日常药箱，开展巡诊陪诊服务，优化疫苗接种服务，组织自我保健宣传。</w:t>
            </w:r>
          </w:p>
        </w:tc>
      </w:tr>
      <w:tr w14:paraId="23802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F1C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BB4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622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1A1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CFC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A5D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B83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E7C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80F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2D9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FF5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479A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7AE7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vMerge w:val="restart"/>
            <w:tcBorders>
              <w:top w:val="single" w:color="000000" w:sz="4" w:space="0"/>
              <w:left w:val="single" w:color="000000" w:sz="4" w:space="0"/>
              <w:bottom w:val="nil"/>
              <w:right w:val="single" w:color="000000" w:sz="4" w:space="0"/>
            </w:tcBorders>
            <w:shd w:val="clear" w:color="auto" w:fill="auto"/>
            <w:vAlign w:val="center"/>
          </w:tcPr>
          <w:p w14:paraId="7343A5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13" w:type="pct"/>
            <w:vMerge w:val="restart"/>
            <w:tcBorders>
              <w:top w:val="single" w:color="000000" w:sz="4" w:space="0"/>
              <w:left w:val="single" w:color="000000" w:sz="4" w:space="0"/>
              <w:bottom w:val="nil"/>
              <w:right w:val="single" w:color="000000" w:sz="4" w:space="0"/>
            </w:tcBorders>
            <w:shd w:val="clear" w:color="auto" w:fill="auto"/>
            <w:vAlign w:val="center"/>
          </w:tcPr>
          <w:p w14:paraId="4741AC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554" w:type="pct"/>
            <w:vMerge w:val="restart"/>
            <w:tcBorders>
              <w:top w:val="single" w:color="000000" w:sz="4" w:space="0"/>
              <w:left w:val="single" w:color="000000" w:sz="4" w:space="0"/>
              <w:bottom w:val="nil"/>
              <w:right w:val="single" w:color="000000" w:sz="4" w:space="0"/>
            </w:tcBorders>
            <w:shd w:val="clear" w:color="auto" w:fill="auto"/>
            <w:vAlign w:val="center"/>
          </w:tcPr>
          <w:p w14:paraId="2A87F4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2A92D1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体检人数</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5ACD52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1029E2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597B88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6D60CE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57F78A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553444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6C3367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1E4D6039">
            <w:pPr>
              <w:snapToGrid w:val="0"/>
              <w:jc w:val="center"/>
              <w:rPr>
                <w:rFonts w:hint="eastAsia" w:ascii="宋体" w:hAnsi="宋体" w:eastAsia="宋体" w:cs="宋体"/>
                <w:i w:val="0"/>
                <w:iCs w:val="0"/>
                <w:color w:val="000000"/>
                <w:sz w:val="18"/>
                <w:szCs w:val="18"/>
                <w:u w:val="none"/>
              </w:rPr>
            </w:pPr>
          </w:p>
        </w:tc>
      </w:tr>
      <w:tr w14:paraId="2E7F5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4F60997E">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7A81F4A7">
            <w:pPr>
              <w:snapToGrid w:val="0"/>
              <w:jc w:val="center"/>
              <w:rPr>
                <w:rFonts w:hint="eastAsia" w:ascii="宋体" w:hAnsi="宋体" w:eastAsia="宋体" w:cs="宋体"/>
                <w:i w:val="0"/>
                <w:iCs w:val="0"/>
                <w:color w:val="000000"/>
                <w:sz w:val="18"/>
                <w:szCs w:val="18"/>
                <w:u w:val="none"/>
              </w:rPr>
            </w:pPr>
          </w:p>
        </w:tc>
        <w:tc>
          <w:tcPr>
            <w:tcW w:w="554" w:type="pct"/>
            <w:vMerge w:val="continue"/>
            <w:tcBorders>
              <w:top w:val="single" w:color="000000" w:sz="4" w:space="0"/>
              <w:left w:val="single" w:color="000000" w:sz="4" w:space="0"/>
              <w:bottom w:val="nil"/>
              <w:right w:val="single" w:color="000000" w:sz="4" w:space="0"/>
            </w:tcBorders>
            <w:shd w:val="clear" w:color="auto" w:fill="auto"/>
            <w:vAlign w:val="center"/>
          </w:tcPr>
          <w:p w14:paraId="06A08412">
            <w:pPr>
              <w:snapToGrid w:val="0"/>
              <w:jc w:val="cente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nil"/>
              <w:right w:val="single" w:color="000000" w:sz="4" w:space="0"/>
            </w:tcBorders>
            <w:shd w:val="clear" w:color="auto" w:fill="auto"/>
            <w:vAlign w:val="center"/>
          </w:tcPr>
          <w:p w14:paraId="330AF8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保障医生数量</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5252D0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3DC370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653404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275F5F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46A33E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6C3BAD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529F66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2A03DF81">
            <w:pPr>
              <w:snapToGrid w:val="0"/>
              <w:jc w:val="center"/>
              <w:rPr>
                <w:rFonts w:hint="eastAsia" w:ascii="宋体" w:hAnsi="宋体" w:eastAsia="宋体" w:cs="宋体"/>
                <w:i w:val="0"/>
                <w:iCs w:val="0"/>
                <w:color w:val="000000"/>
                <w:sz w:val="18"/>
                <w:szCs w:val="18"/>
                <w:u w:val="none"/>
              </w:rPr>
            </w:pPr>
          </w:p>
        </w:tc>
      </w:tr>
      <w:tr w14:paraId="20D69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1C3400A3">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15CCAE00">
            <w:pPr>
              <w:snapToGrid w:val="0"/>
              <w:jc w:val="center"/>
              <w:rPr>
                <w:rFonts w:hint="eastAsia" w:ascii="宋体" w:hAnsi="宋体" w:eastAsia="宋体" w:cs="宋体"/>
                <w:i w:val="0"/>
                <w:iCs w:val="0"/>
                <w:color w:val="000000"/>
                <w:sz w:val="18"/>
                <w:szCs w:val="18"/>
                <w:u w:val="none"/>
              </w:rPr>
            </w:pPr>
          </w:p>
        </w:tc>
        <w:tc>
          <w:tcPr>
            <w:tcW w:w="554" w:type="pct"/>
            <w:vMerge w:val="restart"/>
            <w:tcBorders>
              <w:top w:val="single" w:color="000000" w:sz="4" w:space="0"/>
              <w:left w:val="single" w:color="000000" w:sz="4" w:space="0"/>
              <w:bottom w:val="nil"/>
              <w:right w:val="single" w:color="000000" w:sz="4" w:space="0"/>
            </w:tcBorders>
            <w:shd w:val="clear" w:color="auto" w:fill="auto"/>
            <w:vAlign w:val="center"/>
          </w:tcPr>
          <w:p w14:paraId="7B6EC2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104C63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体检合格率</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04D0CD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572444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7935BE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38D7F3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499B86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78CEEA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3056A1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27D337A3">
            <w:pPr>
              <w:snapToGrid w:val="0"/>
              <w:jc w:val="center"/>
              <w:rPr>
                <w:rFonts w:hint="eastAsia" w:ascii="宋体" w:hAnsi="宋体" w:eastAsia="宋体" w:cs="宋体"/>
                <w:i w:val="0"/>
                <w:iCs w:val="0"/>
                <w:color w:val="000000"/>
                <w:sz w:val="18"/>
                <w:szCs w:val="18"/>
                <w:u w:val="none"/>
              </w:rPr>
            </w:pPr>
          </w:p>
        </w:tc>
      </w:tr>
      <w:tr w14:paraId="596EA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17D94AA5">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578DC431">
            <w:pPr>
              <w:snapToGrid w:val="0"/>
              <w:jc w:val="center"/>
              <w:rPr>
                <w:rFonts w:hint="eastAsia" w:ascii="宋体" w:hAnsi="宋体" w:eastAsia="宋体" w:cs="宋体"/>
                <w:i w:val="0"/>
                <w:iCs w:val="0"/>
                <w:color w:val="000000"/>
                <w:sz w:val="18"/>
                <w:szCs w:val="18"/>
                <w:u w:val="none"/>
              </w:rPr>
            </w:pPr>
          </w:p>
        </w:tc>
        <w:tc>
          <w:tcPr>
            <w:tcW w:w="554" w:type="pct"/>
            <w:vMerge w:val="continue"/>
            <w:tcBorders>
              <w:top w:val="single" w:color="000000" w:sz="4" w:space="0"/>
              <w:left w:val="single" w:color="000000" w:sz="4" w:space="0"/>
              <w:bottom w:val="nil"/>
              <w:right w:val="single" w:color="000000" w:sz="4" w:space="0"/>
            </w:tcBorders>
            <w:shd w:val="clear" w:color="auto" w:fill="auto"/>
            <w:vAlign w:val="center"/>
          </w:tcPr>
          <w:p w14:paraId="4958986D">
            <w:pPr>
              <w:snapToGrid w:val="0"/>
              <w:jc w:val="cente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nil"/>
              <w:right w:val="single" w:color="000000" w:sz="4" w:space="0"/>
            </w:tcBorders>
            <w:shd w:val="clear" w:color="auto" w:fill="auto"/>
            <w:vAlign w:val="center"/>
          </w:tcPr>
          <w:p w14:paraId="5F598C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体检达标率</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6D1B01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4F8344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17E80F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44F676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4122D5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424597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33A1E6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34B7E87B">
            <w:pPr>
              <w:snapToGrid w:val="0"/>
              <w:jc w:val="center"/>
              <w:rPr>
                <w:rFonts w:hint="eastAsia" w:ascii="宋体" w:hAnsi="宋体" w:eastAsia="宋体" w:cs="宋体"/>
                <w:i w:val="0"/>
                <w:iCs w:val="0"/>
                <w:color w:val="000000"/>
                <w:sz w:val="18"/>
                <w:szCs w:val="18"/>
                <w:u w:val="none"/>
              </w:rPr>
            </w:pPr>
          </w:p>
        </w:tc>
      </w:tr>
      <w:tr w14:paraId="0348B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23ADFDEC">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665AA336">
            <w:pPr>
              <w:snapToGrid w:val="0"/>
              <w:jc w:val="center"/>
              <w:rPr>
                <w:rFonts w:hint="eastAsia" w:ascii="宋体" w:hAnsi="宋体" w:eastAsia="宋体" w:cs="宋体"/>
                <w:i w:val="0"/>
                <w:iCs w:val="0"/>
                <w:color w:val="000000"/>
                <w:sz w:val="18"/>
                <w:szCs w:val="18"/>
                <w:u w:val="none"/>
              </w:rPr>
            </w:pPr>
          </w:p>
        </w:tc>
        <w:tc>
          <w:tcPr>
            <w:tcW w:w="554" w:type="pct"/>
            <w:vMerge w:val="restart"/>
            <w:tcBorders>
              <w:top w:val="single" w:color="000000" w:sz="4" w:space="0"/>
              <w:left w:val="single" w:color="000000" w:sz="4" w:space="0"/>
              <w:bottom w:val="nil"/>
              <w:right w:val="single" w:color="000000" w:sz="4" w:space="0"/>
            </w:tcBorders>
            <w:shd w:val="clear" w:color="auto" w:fill="auto"/>
            <w:vAlign w:val="center"/>
          </w:tcPr>
          <w:p w14:paraId="4AB7DE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747482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老干部体检时间</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3FF630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07EB5E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2ED72A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1C170F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55EC73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717551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32386B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565F330F">
            <w:pPr>
              <w:snapToGrid w:val="0"/>
              <w:jc w:val="center"/>
              <w:rPr>
                <w:rFonts w:hint="eastAsia" w:ascii="宋体" w:hAnsi="宋体" w:eastAsia="宋体" w:cs="宋体"/>
                <w:i w:val="0"/>
                <w:iCs w:val="0"/>
                <w:color w:val="000000"/>
                <w:sz w:val="18"/>
                <w:szCs w:val="18"/>
                <w:u w:val="none"/>
              </w:rPr>
            </w:pPr>
          </w:p>
        </w:tc>
      </w:tr>
      <w:tr w14:paraId="62DF5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0388B1F5">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6AA99415">
            <w:pPr>
              <w:snapToGrid w:val="0"/>
              <w:jc w:val="center"/>
              <w:rPr>
                <w:rFonts w:hint="eastAsia" w:ascii="宋体" w:hAnsi="宋体" w:eastAsia="宋体" w:cs="宋体"/>
                <w:i w:val="0"/>
                <w:iCs w:val="0"/>
                <w:color w:val="000000"/>
                <w:sz w:val="18"/>
                <w:szCs w:val="18"/>
                <w:u w:val="none"/>
              </w:rPr>
            </w:pPr>
          </w:p>
        </w:tc>
        <w:tc>
          <w:tcPr>
            <w:tcW w:w="554" w:type="pct"/>
            <w:vMerge w:val="continue"/>
            <w:tcBorders>
              <w:top w:val="single" w:color="000000" w:sz="4" w:space="0"/>
              <w:left w:val="single" w:color="000000" w:sz="4" w:space="0"/>
              <w:bottom w:val="nil"/>
              <w:right w:val="single" w:color="000000" w:sz="4" w:space="0"/>
            </w:tcBorders>
            <w:shd w:val="clear" w:color="auto" w:fill="auto"/>
            <w:vAlign w:val="center"/>
          </w:tcPr>
          <w:p w14:paraId="6C47617C">
            <w:pPr>
              <w:snapToGrid w:val="0"/>
              <w:jc w:val="cente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nil"/>
              <w:right w:val="single" w:color="000000" w:sz="4" w:space="0"/>
            </w:tcBorders>
            <w:shd w:val="clear" w:color="auto" w:fill="auto"/>
            <w:vAlign w:val="center"/>
          </w:tcPr>
          <w:p w14:paraId="397EBB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资金下达时间</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6C9EC7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6B5B49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14319D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49E3A3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6DB1D0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70A3A5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5501D1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57766A4D">
            <w:pPr>
              <w:snapToGrid w:val="0"/>
              <w:jc w:val="center"/>
              <w:rPr>
                <w:rFonts w:hint="eastAsia" w:ascii="宋体" w:hAnsi="宋体" w:eastAsia="宋体" w:cs="宋体"/>
                <w:i w:val="0"/>
                <w:iCs w:val="0"/>
                <w:color w:val="000000"/>
                <w:sz w:val="18"/>
                <w:szCs w:val="18"/>
                <w:u w:val="none"/>
              </w:rPr>
            </w:pPr>
          </w:p>
        </w:tc>
      </w:tr>
      <w:tr w14:paraId="4A934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5EB4CEF5">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4AB01DC6">
            <w:pPr>
              <w:snapToGrid w:val="0"/>
              <w:jc w:val="center"/>
              <w:rPr>
                <w:rFonts w:hint="eastAsia" w:ascii="宋体" w:hAnsi="宋体" w:eastAsia="宋体" w:cs="宋体"/>
                <w:i w:val="0"/>
                <w:iCs w:val="0"/>
                <w:color w:val="000000"/>
                <w:sz w:val="18"/>
                <w:szCs w:val="18"/>
                <w:u w:val="none"/>
              </w:rPr>
            </w:pPr>
          </w:p>
        </w:tc>
        <w:tc>
          <w:tcPr>
            <w:tcW w:w="554" w:type="pct"/>
            <w:vMerge w:val="restart"/>
            <w:tcBorders>
              <w:top w:val="single" w:color="000000" w:sz="4" w:space="0"/>
              <w:left w:val="single" w:color="000000" w:sz="4" w:space="0"/>
              <w:bottom w:val="nil"/>
              <w:right w:val="single" w:color="000000" w:sz="4" w:space="0"/>
            </w:tcBorders>
            <w:shd w:val="clear" w:color="auto" w:fill="auto"/>
            <w:vAlign w:val="center"/>
          </w:tcPr>
          <w:p w14:paraId="17ED95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55F3BA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医疗保障</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762FAC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060BA1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43AC25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49369A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380936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4D45ED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7EFE05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089F9242">
            <w:pPr>
              <w:snapToGrid w:val="0"/>
              <w:jc w:val="center"/>
              <w:rPr>
                <w:rFonts w:hint="eastAsia" w:ascii="宋体" w:hAnsi="宋体" w:eastAsia="宋体" w:cs="宋体"/>
                <w:i w:val="0"/>
                <w:iCs w:val="0"/>
                <w:color w:val="000000"/>
                <w:sz w:val="18"/>
                <w:szCs w:val="18"/>
                <w:u w:val="none"/>
              </w:rPr>
            </w:pPr>
          </w:p>
        </w:tc>
      </w:tr>
      <w:tr w14:paraId="07CE5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3D0581F8">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70285AB7">
            <w:pPr>
              <w:snapToGrid w:val="0"/>
              <w:jc w:val="center"/>
              <w:rPr>
                <w:rFonts w:hint="eastAsia" w:ascii="宋体" w:hAnsi="宋体" w:eastAsia="宋体" w:cs="宋体"/>
                <w:i w:val="0"/>
                <w:iCs w:val="0"/>
                <w:color w:val="000000"/>
                <w:sz w:val="18"/>
                <w:szCs w:val="18"/>
                <w:u w:val="none"/>
              </w:rPr>
            </w:pPr>
          </w:p>
        </w:tc>
        <w:tc>
          <w:tcPr>
            <w:tcW w:w="554" w:type="pct"/>
            <w:vMerge w:val="continue"/>
            <w:tcBorders>
              <w:top w:val="single" w:color="000000" w:sz="4" w:space="0"/>
              <w:left w:val="single" w:color="000000" w:sz="4" w:space="0"/>
              <w:bottom w:val="nil"/>
              <w:right w:val="single" w:color="000000" w:sz="4" w:space="0"/>
            </w:tcBorders>
            <w:shd w:val="clear" w:color="auto" w:fill="auto"/>
            <w:vAlign w:val="center"/>
          </w:tcPr>
          <w:p w14:paraId="3349025D">
            <w:pPr>
              <w:snapToGrid w:val="0"/>
              <w:jc w:val="cente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nil"/>
              <w:right w:val="single" w:color="000000" w:sz="4" w:space="0"/>
            </w:tcBorders>
            <w:shd w:val="clear" w:color="auto" w:fill="auto"/>
            <w:vAlign w:val="center"/>
          </w:tcPr>
          <w:p w14:paraId="159F3B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老干部体检经费</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0B9D86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07B0AA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74F6AC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69F925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174202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426870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7545CD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52648752">
            <w:pPr>
              <w:snapToGrid w:val="0"/>
              <w:jc w:val="center"/>
              <w:rPr>
                <w:rFonts w:hint="eastAsia" w:ascii="宋体" w:hAnsi="宋体" w:eastAsia="宋体" w:cs="宋体"/>
                <w:i w:val="0"/>
                <w:iCs w:val="0"/>
                <w:color w:val="000000"/>
                <w:sz w:val="18"/>
                <w:szCs w:val="18"/>
                <w:u w:val="none"/>
              </w:rPr>
            </w:pPr>
          </w:p>
        </w:tc>
      </w:tr>
      <w:tr w14:paraId="6BF81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66A271E6">
            <w:pPr>
              <w:snapToGrid w:val="0"/>
              <w:jc w:val="center"/>
              <w:rPr>
                <w:rFonts w:hint="eastAsia" w:ascii="宋体" w:hAnsi="宋体" w:eastAsia="宋体" w:cs="宋体"/>
                <w:i w:val="0"/>
                <w:iCs w:val="0"/>
                <w:color w:val="000000"/>
                <w:sz w:val="18"/>
                <w:szCs w:val="18"/>
                <w:u w:val="none"/>
              </w:rPr>
            </w:pPr>
          </w:p>
        </w:tc>
        <w:tc>
          <w:tcPr>
            <w:tcW w:w="213" w:type="pct"/>
            <w:vMerge w:val="restart"/>
            <w:tcBorders>
              <w:top w:val="single" w:color="000000" w:sz="4" w:space="0"/>
              <w:left w:val="single" w:color="000000" w:sz="4" w:space="0"/>
              <w:bottom w:val="nil"/>
              <w:right w:val="single" w:color="000000" w:sz="4" w:space="0"/>
            </w:tcBorders>
            <w:shd w:val="clear" w:color="auto" w:fill="auto"/>
            <w:vAlign w:val="center"/>
          </w:tcPr>
          <w:p w14:paraId="5C6D80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554" w:type="pct"/>
            <w:tcBorders>
              <w:top w:val="single" w:color="000000" w:sz="4" w:space="0"/>
              <w:left w:val="single" w:color="000000" w:sz="4" w:space="0"/>
              <w:bottom w:val="nil"/>
              <w:right w:val="single" w:color="000000" w:sz="4" w:space="0"/>
            </w:tcBorders>
            <w:shd w:val="clear" w:color="auto" w:fill="auto"/>
            <w:vAlign w:val="center"/>
          </w:tcPr>
          <w:p w14:paraId="7B35C3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26EFFD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提高保健干部健康水平</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1D8BBD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67B0FC4C">
            <w:pPr>
              <w:snapToGrid w:val="0"/>
              <w:jc w:val="center"/>
              <w:rPr>
                <w:rFonts w:hint="eastAsia" w:ascii="宋体" w:hAnsi="宋体" w:eastAsia="宋体" w:cs="宋体"/>
                <w:i w:val="0"/>
                <w:iCs w:val="0"/>
                <w:color w:val="000000"/>
                <w:sz w:val="18"/>
                <w:szCs w:val="18"/>
                <w:u w:val="none"/>
              </w:rPr>
            </w:pPr>
          </w:p>
        </w:tc>
        <w:tc>
          <w:tcPr>
            <w:tcW w:w="413" w:type="pct"/>
            <w:tcBorders>
              <w:top w:val="single" w:color="000000" w:sz="4" w:space="0"/>
              <w:left w:val="single" w:color="000000" w:sz="4" w:space="0"/>
              <w:bottom w:val="nil"/>
              <w:right w:val="single" w:color="000000" w:sz="4" w:space="0"/>
            </w:tcBorders>
            <w:shd w:val="clear" w:color="auto" w:fill="auto"/>
            <w:vAlign w:val="center"/>
          </w:tcPr>
          <w:p w14:paraId="6C6E85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64671E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6B8B7370">
            <w:pPr>
              <w:snapToGrid w:val="0"/>
              <w:jc w:val="center"/>
              <w:rPr>
                <w:rFonts w:hint="eastAsia" w:ascii="宋体" w:hAnsi="宋体" w:eastAsia="宋体" w:cs="宋体"/>
                <w:i w:val="0"/>
                <w:iCs w:val="0"/>
                <w:color w:val="000000"/>
                <w:sz w:val="18"/>
                <w:szCs w:val="18"/>
                <w:u w:val="none"/>
              </w:rPr>
            </w:pPr>
          </w:p>
        </w:tc>
        <w:tc>
          <w:tcPr>
            <w:tcW w:w="291" w:type="pct"/>
            <w:tcBorders>
              <w:top w:val="single" w:color="000000" w:sz="4" w:space="0"/>
              <w:left w:val="single" w:color="000000" w:sz="4" w:space="0"/>
              <w:bottom w:val="nil"/>
              <w:right w:val="single" w:color="000000" w:sz="4" w:space="0"/>
            </w:tcBorders>
            <w:shd w:val="clear" w:color="auto" w:fill="auto"/>
            <w:vAlign w:val="center"/>
          </w:tcPr>
          <w:p w14:paraId="570886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4A2305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2797E225">
            <w:pPr>
              <w:snapToGrid w:val="0"/>
              <w:jc w:val="center"/>
              <w:rPr>
                <w:rFonts w:hint="eastAsia" w:ascii="宋体" w:hAnsi="宋体" w:eastAsia="宋体" w:cs="宋体"/>
                <w:i w:val="0"/>
                <w:iCs w:val="0"/>
                <w:color w:val="000000"/>
                <w:sz w:val="18"/>
                <w:szCs w:val="18"/>
                <w:u w:val="none"/>
              </w:rPr>
            </w:pPr>
          </w:p>
        </w:tc>
      </w:tr>
      <w:tr w14:paraId="159A6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63077C74">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0BF1F843">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nil"/>
              <w:right w:val="single" w:color="000000" w:sz="4" w:space="0"/>
            </w:tcBorders>
            <w:shd w:val="clear" w:color="auto" w:fill="auto"/>
            <w:vAlign w:val="center"/>
          </w:tcPr>
          <w:p w14:paraId="289ACB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5EC047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保障活动安全</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044244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69B70EE2">
            <w:pPr>
              <w:snapToGrid w:val="0"/>
              <w:jc w:val="center"/>
              <w:rPr>
                <w:rFonts w:hint="eastAsia" w:ascii="宋体" w:hAnsi="宋体" w:eastAsia="宋体" w:cs="宋体"/>
                <w:i w:val="0"/>
                <w:iCs w:val="0"/>
                <w:color w:val="000000"/>
                <w:sz w:val="18"/>
                <w:szCs w:val="18"/>
                <w:u w:val="none"/>
              </w:rPr>
            </w:pPr>
          </w:p>
        </w:tc>
        <w:tc>
          <w:tcPr>
            <w:tcW w:w="413" w:type="pct"/>
            <w:tcBorders>
              <w:top w:val="single" w:color="000000" w:sz="4" w:space="0"/>
              <w:left w:val="single" w:color="000000" w:sz="4" w:space="0"/>
              <w:bottom w:val="nil"/>
              <w:right w:val="single" w:color="000000" w:sz="4" w:space="0"/>
            </w:tcBorders>
            <w:shd w:val="clear" w:color="auto" w:fill="auto"/>
            <w:vAlign w:val="center"/>
          </w:tcPr>
          <w:p w14:paraId="6E64D4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230277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43B03320">
            <w:pPr>
              <w:snapToGrid w:val="0"/>
              <w:jc w:val="center"/>
              <w:rPr>
                <w:rFonts w:hint="eastAsia" w:ascii="宋体" w:hAnsi="宋体" w:eastAsia="宋体" w:cs="宋体"/>
                <w:i w:val="0"/>
                <w:iCs w:val="0"/>
                <w:color w:val="000000"/>
                <w:sz w:val="18"/>
                <w:szCs w:val="18"/>
                <w:u w:val="none"/>
              </w:rPr>
            </w:pPr>
          </w:p>
        </w:tc>
        <w:tc>
          <w:tcPr>
            <w:tcW w:w="291" w:type="pct"/>
            <w:tcBorders>
              <w:top w:val="single" w:color="000000" w:sz="4" w:space="0"/>
              <w:left w:val="single" w:color="000000" w:sz="4" w:space="0"/>
              <w:bottom w:val="nil"/>
              <w:right w:val="single" w:color="000000" w:sz="4" w:space="0"/>
            </w:tcBorders>
            <w:shd w:val="clear" w:color="auto" w:fill="auto"/>
            <w:vAlign w:val="center"/>
          </w:tcPr>
          <w:p w14:paraId="14B6A6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463538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5527E419">
            <w:pPr>
              <w:snapToGrid w:val="0"/>
              <w:jc w:val="center"/>
              <w:rPr>
                <w:rFonts w:hint="eastAsia" w:ascii="宋体" w:hAnsi="宋体" w:eastAsia="宋体" w:cs="宋体"/>
                <w:i w:val="0"/>
                <w:iCs w:val="0"/>
                <w:color w:val="000000"/>
                <w:sz w:val="18"/>
                <w:szCs w:val="18"/>
                <w:u w:val="none"/>
              </w:rPr>
            </w:pPr>
          </w:p>
        </w:tc>
      </w:tr>
      <w:tr w14:paraId="080F4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715D4B3D">
            <w:pPr>
              <w:snapToGrid w:val="0"/>
              <w:jc w:val="center"/>
              <w:rPr>
                <w:rFonts w:hint="eastAsia" w:ascii="宋体" w:hAnsi="宋体" w:eastAsia="宋体" w:cs="宋体"/>
                <w:i w:val="0"/>
                <w:iCs w:val="0"/>
                <w:color w:val="000000"/>
                <w:sz w:val="18"/>
                <w:szCs w:val="18"/>
                <w:u w:val="none"/>
              </w:rPr>
            </w:pPr>
          </w:p>
        </w:tc>
        <w:tc>
          <w:tcPr>
            <w:tcW w:w="213" w:type="pct"/>
            <w:tcBorders>
              <w:top w:val="single" w:color="000000" w:sz="4" w:space="0"/>
              <w:left w:val="single" w:color="000000" w:sz="4" w:space="0"/>
              <w:bottom w:val="nil"/>
              <w:right w:val="single" w:color="000000" w:sz="4" w:space="0"/>
            </w:tcBorders>
            <w:shd w:val="clear" w:color="auto" w:fill="auto"/>
            <w:vAlign w:val="center"/>
          </w:tcPr>
          <w:p w14:paraId="501863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554" w:type="pct"/>
            <w:tcBorders>
              <w:top w:val="single" w:color="000000" w:sz="4" w:space="0"/>
              <w:left w:val="single" w:color="000000" w:sz="4" w:space="0"/>
              <w:bottom w:val="nil"/>
              <w:right w:val="single" w:color="000000" w:sz="4" w:space="0"/>
            </w:tcBorders>
            <w:shd w:val="clear" w:color="auto" w:fill="auto"/>
            <w:vAlign w:val="center"/>
          </w:tcPr>
          <w:p w14:paraId="5C7AAF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3F1927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保健对象满意</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2A3727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6011C2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54125B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47E64B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658A5C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1DF017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467881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10113032">
            <w:pPr>
              <w:snapToGrid w:val="0"/>
              <w:jc w:val="center"/>
              <w:rPr>
                <w:rFonts w:hint="eastAsia" w:ascii="宋体" w:hAnsi="宋体" w:eastAsia="宋体" w:cs="宋体"/>
                <w:i w:val="0"/>
                <w:iCs w:val="0"/>
                <w:color w:val="000000"/>
                <w:sz w:val="18"/>
                <w:szCs w:val="18"/>
                <w:u w:val="none"/>
              </w:rPr>
            </w:pPr>
          </w:p>
        </w:tc>
      </w:tr>
      <w:tr w14:paraId="45A22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514"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137B7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A68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3A8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75775">
            <w:pPr>
              <w:snapToGrid w:val="0"/>
              <w:jc w:val="center"/>
              <w:rPr>
                <w:rFonts w:hint="eastAsia" w:ascii="宋体" w:hAnsi="宋体" w:eastAsia="宋体" w:cs="宋体"/>
                <w:i w:val="0"/>
                <w:iCs w:val="0"/>
                <w:color w:val="000000"/>
                <w:sz w:val="18"/>
                <w:szCs w:val="18"/>
                <w:u w:val="none"/>
              </w:rPr>
            </w:pPr>
          </w:p>
        </w:tc>
      </w:tr>
    </w:tbl>
    <w:p w14:paraId="3FBC61AB">
      <w:pPr>
        <w:widowControl/>
        <w:spacing w:before="240" w:after="240"/>
        <w:rPr>
          <w:rFonts w:hint="eastAsia" w:ascii="仿宋" w:hAnsi="仿宋" w:eastAsia="仿宋" w:cs="仿宋"/>
          <w:color w:val="000000"/>
          <w:kern w:val="0"/>
          <w:sz w:val="32"/>
          <w:szCs w:val="32"/>
        </w:rPr>
      </w:pPr>
    </w:p>
    <w:p w14:paraId="4BE66163">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w:t>
      </w:r>
    </w:p>
    <w:p w14:paraId="2ECDB92F">
      <w:pPr>
        <w:widowControl/>
        <w:spacing w:before="240" w:after="240"/>
        <w:ind w:firstLine="320" w:firstLineChars="100"/>
        <w:rPr>
          <w:rFonts w:hint="eastAsia" w:ascii="仿宋" w:hAnsi="仿宋" w:eastAsia="仿宋" w:cs="仿宋"/>
          <w:color w:val="1200FF"/>
          <w:kern w:val="0"/>
          <w:sz w:val="32"/>
          <w:szCs w:val="32"/>
        </w:rPr>
      </w:pPr>
      <w:r>
        <w:rPr>
          <w:rFonts w:hint="eastAsia" w:ascii="仿宋" w:hAnsi="仿宋" w:eastAsia="仿宋" w:cs="仿宋"/>
          <w:color w:val="1200FF"/>
          <w:kern w:val="0"/>
          <w:sz w:val="32"/>
          <w:szCs w:val="32"/>
        </w:rPr>
        <w:t> </w:t>
      </w:r>
    </w:p>
    <w:tbl>
      <w:tblPr>
        <w:tblStyle w:val="1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576"/>
        <w:gridCol w:w="673"/>
        <w:gridCol w:w="1123"/>
        <w:gridCol w:w="1480"/>
        <w:gridCol w:w="578"/>
        <w:gridCol w:w="588"/>
        <w:gridCol w:w="718"/>
        <w:gridCol w:w="882"/>
        <w:gridCol w:w="724"/>
        <w:gridCol w:w="460"/>
        <w:gridCol w:w="695"/>
        <w:gridCol w:w="1371"/>
      </w:tblGrid>
      <w:tr w14:paraId="13B40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11054A54">
            <w:pPr>
              <w:keepNext/>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71D31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6DE3CF">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FDC4FDE">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食品安全风险监测项目</w:t>
            </w:r>
          </w:p>
        </w:tc>
      </w:tr>
      <w:tr w14:paraId="3106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E35C2">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91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D91279">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F2510">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B8C98B">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06834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F05A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07BBE">
            <w:pPr>
              <w:keepNext/>
              <w:snapToGrid w:val="0"/>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0D9B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3283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387E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09FF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9A423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0CCC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0B6A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033BE">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EBC6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495B8">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7360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F1296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E714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B200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FE9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2D547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61F5B">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F5043">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9D3BC">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CC1CC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CE92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CF90">
            <w:pPr>
              <w:keepNext/>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6BF3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C5B18">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8656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E1FAD">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098B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40E78">
            <w:pPr>
              <w:keepNext/>
              <w:snapToGrid w:val="0"/>
              <w:rPr>
                <w:rFonts w:hint="eastAsia" w:ascii="宋体" w:hAnsi="宋体" w:eastAsia="宋体" w:cs="宋体"/>
                <w:i w:val="0"/>
                <w:iCs w:val="0"/>
                <w:color w:val="000000"/>
                <w:sz w:val="18"/>
                <w:szCs w:val="18"/>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13BD7">
            <w:pPr>
              <w:keepNext/>
              <w:snapToGrid w:val="0"/>
              <w:jc w:val="center"/>
              <w:rPr>
                <w:rFonts w:hint="eastAsia" w:ascii="宋体" w:hAnsi="宋体" w:eastAsia="宋体" w:cs="宋体"/>
                <w:i w:val="0"/>
                <w:iCs w:val="0"/>
                <w:color w:val="000000"/>
                <w:sz w:val="18"/>
                <w:szCs w:val="18"/>
                <w:u w:val="none"/>
              </w:rPr>
            </w:pP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F9223">
            <w:pPr>
              <w:keepNext/>
              <w:snapToGrid w:val="0"/>
              <w:jc w:val="center"/>
              <w:rPr>
                <w:rFonts w:hint="eastAsia" w:ascii="宋体" w:hAnsi="宋体" w:eastAsia="宋体" w:cs="宋体"/>
                <w:i w:val="0"/>
                <w:iCs w:val="0"/>
                <w:color w:val="000000"/>
                <w:sz w:val="18"/>
                <w:szCs w:val="18"/>
                <w:u w:val="none"/>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3491F">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810A5">
            <w:pPr>
              <w:keepNext/>
              <w:snapToGrid w:val="0"/>
              <w:jc w:val="center"/>
              <w:rPr>
                <w:rFonts w:hint="eastAsia" w:ascii="宋体" w:hAnsi="宋体" w:eastAsia="宋体" w:cs="宋体"/>
                <w:i w:val="0"/>
                <w:iCs w:val="0"/>
                <w:color w:val="000000"/>
                <w:sz w:val="18"/>
                <w:szCs w:val="18"/>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B239B">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4A932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F9197">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4E99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E9899">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4FA4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B19DD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2FB4C">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C3EE2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E1A54">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5253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3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E3E57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2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55A2D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09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21A05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4224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24D8D">
            <w:pPr>
              <w:keepNext/>
              <w:snapToGrid w:val="0"/>
              <w:jc w:val="center"/>
              <w:rPr>
                <w:rFonts w:hint="eastAsia" w:ascii="宋体" w:hAnsi="宋体" w:eastAsia="宋体" w:cs="宋体"/>
                <w:i w:val="0"/>
                <w:iCs w:val="0"/>
                <w:color w:val="000000"/>
                <w:sz w:val="18"/>
                <w:szCs w:val="18"/>
                <w:u w:val="none"/>
              </w:rPr>
            </w:pPr>
          </w:p>
        </w:tc>
        <w:tc>
          <w:tcPr>
            <w:tcW w:w="22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55CCE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完成自治区监测采样任务，形成年度食品安全风险监测分析报告。</w:t>
            </w:r>
          </w:p>
        </w:tc>
        <w:tc>
          <w:tcPr>
            <w:tcW w:w="209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87953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完成自治区监测采样任务，形成年度食品安全风险监测分析报告。</w:t>
            </w:r>
          </w:p>
        </w:tc>
      </w:tr>
      <w:tr w14:paraId="6AE85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B3CC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14AB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CCA2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B2B0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3F7D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F773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8C12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F368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B7E2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6A17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4A73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4BBC">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124FB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restart"/>
            <w:tcBorders>
              <w:top w:val="single" w:color="000000" w:sz="4" w:space="0"/>
              <w:left w:val="single" w:color="000000" w:sz="4" w:space="0"/>
              <w:bottom w:val="nil"/>
              <w:right w:val="single" w:color="000000" w:sz="4" w:space="0"/>
            </w:tcBorders>
            <w:shd w:val="clear" w:color="auto" w:fill="auto"/>
            <w:vAlign w:val="center"/>
          </w:tcPr>
          <w:p w14:paraId="5EC05FB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41" w:type="pct"/>
            <w:vMerge w:val="restart"/>
            <w:tcBorders>
              <w:top w:val="single" w:color="000000" w:sz="4" w:space="0"/>
              <w:left w:val="single" w:color="000000" w:sz="4" w:space="0"/>
              <w:bottom w:val="nil"/>
              <w:right w:val="single" w:color="000000" w:sz="4" w:space="0"/>
            </w:tcBorders>
            <w:shd w:val="clear" w:color="auto" w:fill="auto"/>
            <w:vAlign w:val="center"/>
          </w:tcPr>
          <w:p w14:paraId="085AC89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569" w:type="pct"/>
            <w:vMerge w:val="restart"/>
            <w:tcBorders>
              <w:top w:val="single" w:color="000000" w:sz="4" w:space="0"/>
              <w:left w:val="single" w:color="000000" w:sz="4" w:space="0"/>
              <w:bottom w:val="nil"/>
              <w:right w:val="single" w:color="000000" w:sz="4" w:space="0"/>
            </w:tcBorders>
            <w:shd w:val="clear" w:color="auto" w:fill="auto"/>
            <w:vAlign w:val="center"/>
          </w:tcPr>
          <w:p w14:paraId="7B024C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2E0BEFA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风险监测样本任务完成数</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6B27894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60F9D4B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6112DF3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5C03EB4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04A7EDA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4D174CA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344DA47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5C736E16">
            <w:pPr>
              <w:keepNext/>
              <w:snapToGrid w:val="0"/>
              <w:jc w:val="center"/>
              <w:rPr>
                <w:rFonts w:hint="eastAsia" w:ascii="宋体" w:hAnsi="宋体" w:eastAsia="宋体" w:cs="宋体"/>
                <w:i w:val="0"/>
                <w:iCs w:val="0"/>
                <w:color w:val="000000"/>
                <w:sz w:val="18"/>
                <w:szCs w:val="18"/>
                <w:u w:val="none"/>
              </w:rPr>
            </w:pPr>
          </w:p>
        </w:tc>
      </w:tr>
      <w:tr w14:paraId="41061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23449B4D">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476FA694">
            <w:pPr>
              <w:keepNext/>
              <w:snapToGrid w:val="0"/>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nil"/>
              <w:right w:val="single" w:color="000000" w:sz="4" w:space="0"/>
            </w:tcBorders>
            <w:shd w:val="clear" w:color="auto" w:fill="auto"/>
            <w:vAlign w:val="center"/>
          </w:tcPr>
          <w:p w14:paraId="3B271D1C">
            <w:pPr>
              <w:keepNext/>
              <w:snapToGrid w:val="0"/>
              <w:jc w:val="center"/>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nil"/>
              <w:right w:val="single" w:color="000000" w:sz="4" w:space="0"/>
            </w:tcBorders>
            <w:shd w:val="clear" w:color="auto" w:fill="auto"/>
            <w:vAlign w:val="center"/>
          </w:tcPr>
          <w:p w14:paraId="128CD80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食源性疾病主动监测采样完成数</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4CE1C4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48C736F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07D0933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79D8652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1F2372D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41664E8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7036F43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5DF7C3CC">
            <w:pPr>
              <w:keepNext/>
              <w:snapToGrid w:val="0"/>
              <w:jc w:val="center"/>
              <w:rPr>
                <w:rFonts w:hint="eastAsia" w:ascii="宋体" w:hAnsi="宋体" w:eastAsia="宋体" w:cs="宋体"/>
                <w:i w:val="0"/>
                <w:iCs w:val="0"/>
                <w:color w:val="000000"/>
                <w:sz w:val="18"/>
                <w:szCs w:val="18"/>
                <w:u w:val="none"/>
              </w:rPr>
            </w:pPr>
          </w:p>
        </w:tc>
      </w:tr>
      <w:tr w14:paraId="75C1C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3E78111D">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36B9CED2">
            <w:pPr>
              <w:keepNext/>
              <w:snapToGrid w:val="0"/>
              <w:jc w:val="center"/>
              <w:rPr>
                <w:rFonts w:hint="eastAsia" w:ascii="宋体" w:hAnsi="宋体" w:eastAsia="宋体" w:cs="宋体"/>
                <w:i w:val="0"/>
                <w:iCs w:val="0"/>
                <w:color w:val="000000"/>
                <w:sz w:val="18"/>
                <w:szCs w:val="18"/>
                <w:u w:val="none"/>
              </w:rPr>
            </w:pPr>
          </w:p>
        </w:tc>
        <w:tc>
          <w:tcPr>
            <w:tcW w:w="569" w:type="pct"/>
            <w:vMerge w:val="restart"/>
            <w:tcBorders>
              <w:top w:val="single" w:color="000000" w:sz="4" w:space="0"/>
              <w:left w:val="single" w:color="000000" w:sz="4" w:space="0"/>
              <w:bottom w:val="nil"/>
              <w:right w:val="single" w:color="000000" w:sz="4" w:space="0"/>
            </w:tcBorders>
            <w:shd w:val="clear" w:color="auto" w:fill="auto"/>
            <w:vAlign w:val="center"/>
          </w:tcPr>
          <w:p w14:paraId="5A04D10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621A034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质控任务完成率</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05F7CC6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0B4F135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3D2BC31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37D109C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097AB2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0296F2E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299FEEC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430526C3">
            <w:pPr>
              <w:keepNext/>
              <w:snapToGrid w:val="0"/>
              <w:jc w:val="center"/>
              <w:rPr>
                <w:rFonts w:hint="eastAsia" w:ascii="宋体" w:hAnsi="宋体" w:eastAsia="宋体" w:cs="宋体"/>
                <w:i w:val="0"/>
                <w:iCs w:val="0"/>
                <w:color w:val="000000"/>
                <w:sz w:val="18"/>
                <w:szCs w:val="18"/>
                <w:u w:val="none"/>
              </w:rPr>
            </w:pPr>
          </w:p>
        </w:tc>
      </w:tr>
      <w:tr w14:paraId="41A70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7E4A82B3">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75842F90">
            <w:pPr>
              <w:keepNext/>
              <w:snapToGrid w:val="0"/>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nil"/>
              <w:right w:val="single" w:color="000000" w:sz="4" w:space="0"/>
            </w:tcBorders>
            <w:shd w:val="clear" w:color="auto" w:fill="auto"/>
            <w:vAlign w:val="center"/>
          </w:tcPr>
          <w:p w14:paraId="691555BF">
            <w:pPr>
              <w:keepNext/>
              <w:snapToGrid w:val="0"/>
              <w:jc w:val="center"/>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nil"/>
              <w:right w:val="single" w:color="000000" w:sz="4" w:space="0"/>
            </w:tcBorders>
            <w:shd w:val="clear" w:color="auto" w:fill="auto"/>
            <w:vAlign w:val="center"/>
          </w:tcPr>
          <w:p w14:paraId="7115EC3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食品检测合格率</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7A0DAD1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67F7859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49328BC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31B3D75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3BC4FC5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7410749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14CC444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4DE70D32">
            <w:pPr>
              <w:keepNext/>
              <w:snapToGrid w:val="0"/>
              <w:jc w:val="center"/>
              <w:rPr>
                <w:rFonts w:hint="eastAsia" w:ascii="宋体" w:hAnsi="宋体" w:eastAsia="宋体" w:cs="宋体"/>
                <w:i w:val="0"/>
                <w:iCs w:val="0"/>
                <w:color w:val="000000"/>
                <w:sz w:val="18"/>
                <w:szCs w:val="18"/>
                <w:u w:val="none"/>
              </w:rPr>
            </w:pPr>
          </w:p>
        </w:tc>
      </w:tr>
      <w:tr w14:paraId="188E6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74C752D5">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0FE35613">
            <w:pPr>
              <w:keepNext/>
              <w:snapToGrid w:val="0"/>
              <w:jc w:val="center"/>
              <w:rPr>
                <w:rFonts w:hint="eastAsia" w:ascii="宋体" w:hAnsi="宋体" w:eastAsia="宋体" w:cs="宋体"/>
                <w:i w:val="0"/>
                <w:iCs w:val="0"/>
                <w:color w:val="000000"/>
                <w:sz w:val="18"/>
                <w:szCs w:val="18"/>
                <w:u w:val="none"/>
              </w:rPr>
            </w:pPr>
          </w:p>
        </w:tc>
        <w:tc>
          <w:tcPr>
            <w:tcW w:w="569" w:type="pct"/>
            <w:vMerge w:val="restart"/>
            <w:tcBorders>
              <w:top w:val="single" w:color="000000" w:sz="4" w:space="0"/>
              <w:left w:val="single" w:color="000000" w:sz="4" w:space="0"/>
              <w:bottom w:val="nil"/>
              <w:right w:val="single" w:color="000000" w:sz="4" w:space="0"/>
            </w:tcBorders>
            <w:shd w:val="clear" w:color="auto" w:fill="auto"/>
            <w:vAlign w:val="center"/>
          </w:tcPr>
          <w:p w14:paraId="7A419FD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516CAEE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时间安全监测时间</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35E9DE9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775B34E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140A892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42A9EB1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6B19BFE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72989B9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2014948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392DD118">
            <w:pPr>
              <w:keepNext/>
              <w:snapToGrid w:val="0"/>
              <w:jc w:val="center"/>
              <w:rPr>
                <w:rFonts w:hint="eastAsia" w:ascii="宋体" w:hAnsi="宋体" w:eastAsia="宋体" w:cs="宋体"/>
                <w:i w:val="0"/>
                <w:iCs w:val="0"/>
                <w:color w:val="000000"/>
                <w:sz w:val="18"/>
                <w:szCs w:val="18"/>
                <w:u w:val="none"/>
              </w:rPr>
            </w:pPr>
          </w:p>
        </w:tc>
      </w:tr>
      <w:tr w14:paraId="33DC8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6467532D">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07DA1110">
            <w:pPr>
              <w:keepNext/>
              <w:snapToGrid w:val="0"/>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nil"/>
              <w:right w:val="single" w:color="000000" w:sz="4" w:space="0"/>
            </w:tcBorders>
            <w:shd w:val="clear" w:color="auto" w:fill="auto"/>
            <w:vAlign w:val="center"/>
          </w:tcPr>
          <w:p w14:paraId="703813FD">
            <w:pPr>
              <w:keepNext/>
              <w:snapToGrid w:val="0"/>
              <w:jc w:val="center"/>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nil"/>
              <w:right w:val="single" w:color="000000" w:sz="4" w:space="0"/>
            </w:tcBorders>
            <w:shd w:val="clear" w:color="auto" w:fill="auto"/>
            <w:vAlign w:val="center"/>
          </w:tcPr>
          <w:p w14:paraId="2BC046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质控项目完成时间</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1E52EE0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1B5B0BE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6C8FD74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4F9D371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669BBAB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576A842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5316EB9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050313CE">
            <w:pPr>
              <w:keepNext/>
              <w:snapToGrid w:val="0"/>
              <w:jc w:val="center"/>
              <w:rPr>
                <w:rFonts w:hint="eastAsia" w:ascii="宋体" w:hAnsi="宋体" w:eastAsia="宋体" w:cs="宋体"/>
                <w:i w:val="0"/>
                <w:iCs w:val="0"/>
                <w:color w:val="000000"/>
                <w:sz w:val="18"/>
                <w:szCs w:val="18"/>
                <w:u w:val="none"/>
              </w:rPr>
            </w:pPr>
          </w:p>
        </w:tc>
      </w:tr>
      <w:tr w14:paraId="2CBEF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6CE2B099">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4F06FAEF">
            <w:pPr>
              <w:keepNext/>
              <w:snapToGrid w:val="0"/>
              <w:jc w:val="center"/>
              <w:rPr>
                <w:rFonts w:hint="eastAsia" w:ascii="宋体" w:hAnsi="宋体" w:eastAsia="宋体" w:cs="宋体"/>
                <w:i w:val="0"/>
                <w:iCs w:val="0"/>
                <w:color w:val="000000"/>
                <w:sz w:val="18"/>
                <w:szCs w:val="18"/>
                <w:u w:val="none"/>
              </w:rPr>
            </w:pPr>
          </w:p>
        </w:tc>
        <w:tc>
          <w:tcPr>
            <w:tcW w:w="569" w:type="pct"/>
            <w:vMerge w:val="restart"/>
            <w:tcBorders>
              <w:top w:val="single" w:color="000000" w:sz="4" w:space="0"/>
              <w:left w:val="single" w:color="000000" w:sz="4" w:space="0"/>
              <w:bottom w:val="nil"/>
              <w:right w:val="single" w:color="000000" w:sz="4" w:space="0"/>
            </w:tcBorders>
            <w:shd w:val="clear" w:color="auto" w:fill="auto"/>
            <w:vAlign w:val="center"/>
          </w:tcPr>
          <w:p w14:paraId="41B5DE3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73A76E7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风险监测样本任务</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17F0AEB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3740EBE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3C0A6AF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440E536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251E2FC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4ADD92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414A001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631EED34">
            <w:pPr>
              <w:keepNext/>
              <w:snapToGrid w:val="0"/>
              <w:jc w:val="center"/>
              <w:rPr>
                <w:rFonts w:hint="eastAsia" w:ascii="宋体" w:hAnsi="宋体" w:eastAsia="宋体" w:cs="宋体"/>
                <w:i w:val="0"/>
                <w:iCs w:val="0"/>
                <w:color w:val="000000"/>
                <w:sz w:val="18"/>
                <w:szCs w:val="18"/>
                <w:u w:val="none"/>
              </w:rPr>
            </w:pPr>
          </w:p>
        </w:tc>
      </w:tr>
      <w:tr w14:paraId="29694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2FB0302B">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31ED3A8C">
            <w:pPr>
              <w:keepNext/>
              <w:snapToGrid w:val="0"/>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nil"/>
              <w:right w:val="single" w:color="000000" w:sz="4" w:space="0"/>
            </w:tcBorders>
            <w:shd w:val="clear" w:color="auto" w:fill="auto"/>
            <w:vAlign w:val="center"/>
          </w:tcPr>
          <w:p w14:paraId="4126FCBB">
            <w:pPr>
              <w:keepNext/>
              <w:snapToGrid w:val="0"/>
              <w:jc w:val="center"/>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nil"/>
              <w:right w:val="single" w:color="000000" w:sz="4" w:space="0"/>
            </w:tcBorders>
            <w:shd w:val="clear" w:color="auto" w:fill="auto"/>
            <w:vAlign w:val="center"/>
          </w:tcPr>
          <w:p w14:paraId="12DF05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食源性疾病主动监测采样</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730BA4F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7115B7E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6FB621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043F1F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006CF90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1C0478D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3707FF8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25374A28">
            <w:pPr>
              <w:keepNext/>
              <w:snapToGrid w:val="0"/>
              <w:jc w:val="center"/>
              <w:rPr>
                <w:rFonts w:hint="eastAsia" w:ascii="宋体" w:hAnsi="宋体" w:eastAsia="宋体" w:cs="宋体"/>
                <w:i w:val="0"/>
                <w:iCs w:val="0"/>
                <w:color w:val="000000"/>
                <w:sz w:val="18"/>
                <w:szCs w:val="18"/>
                <w:u w:val="none"/>
              </w:rPr>
            </w:pPr>
          </w:p>
        </w:tc>
      </w:tr>
      <w:tr w14:paraId="32F6F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342F1F3F">
            <w:pPr>
              <w:keepNext/>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nil"/>
              <w:right w:val="single" w:color="000000" w:sz="4" w:space="0"/>
            </w:tcBorders>
            <w:shd w:val="clear" w:color="auto" w:fill="auto"/>
            <w:vAlign w:val="center"/>
          </w:tcPr>
          <w:p w14:paraId="562C041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569" w:type="pct"/>
            <w:tcBorders>
              <w:top w:val="single" w:color="000000" w:sz="4" w:space="0"/>
              <w:left w:val="single" w:color="000000" w:sz="4" w:space="0"/>
              <w:bottom w:val="nil"/>
              <w:right w:val="single" w:color="000000" w:sz="4" w:space="0"/>
            </w:tcBorders>
            <w:shd w:val="clear" w:color="auto" w:fill="auto"/>
            <w:vAlign w:val="center"/>
          </w:tcPr>
          <w:p w14:paraId="2D171A3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6062FD2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保障社会稳中向好</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07F87C1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44074167">
            <w:pPr>
              <w:keepNext/>
              <w:snapToGrid w:val="0"/>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nil"/>
              <w:right w:val="single" w:color="000000" w:sz="4" w:space="0"/>
            </w:tcBorders>
            <w:shd w:val="clear" w:color="auto" w:fill="auto"/>
            <w:vAlign w:val="center"/>
          </w:tcPr>
          <w:p w14:paraId="3E0516B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3B1EDF9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33FE604B">
            <w:pPr>
              <w:keepNext/>
              <w:snapToGrid w:val="0"/>
              <w:jc w:val="center"/>
              <w:rPr>
                <w:rFonts w:hint="eastAsia" w:ascii="宋体" w:hAnsi="宋体" w:eastAsia="宋体" w:cs="宋体"/>
                <w:i w:val="0"/>
                <w:iCs w:val="0"/>
                <w:color w:val="000000"/>
                <w:sz w:val="18"/>
                <w:szCs w:val="18"/>
                <w:u w:val="none"/>
              </w:rPr>
            </w:pPr>
          </w:p>
        </w:tc>
        <w:tc>
          <w:tcPr>
            <w:tcW w:w="233" w:type="pct"/>
            <w:tcBorders>
              <w:top w:val="single" w:color="000000" w:sz="4" w:space="0"/>
              <w:left w:val="single" w:color="000000" w:sz="4" w:space="0"/>
              <w:bottom w:val="nil"/>
              <w:right w:val="single" w:color="000000" w:sz="4" w:space="0"/>
            </w:tcBorders>
            <w:shd w:val="clear" w:color="auto" w:fill="auto"/>
            <w:vAlign w:val="center"/>
          </w:tcPr>
          <w:p w14:paraId="50C1CBB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7C107DE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7381563A">
            <w:pPr>
              <w:keepNext/>
              <w:snapToGrid w:val="0"/>
              <w:jc w:val="center"/>
              <w:rPr>
                <w:rFonts w:hint="eastAsia" w:ascii="宋体" w:hAnsi="宋体" w:eastAsia="宋体" w:cs="宋体"/>
                <w:i w:val="0"/>
                <w:iCs w:val="0"/>
                <w:color w:val="000000"/>
                <w:sz w:val="18"/>
                <w:szCs w:val="18"/>
                <w:u w:val="none"/>
              </w:rPr>
            </w:pPr>
          </w:p>
        </w:tc>
      </w:tr>
      <w:tr w14:paraId="5E1CA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78685227">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5E61BD0E">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nil"/>
              <w:right w:val="single" w:color="000000" w:sz="4" w:space="0"/>
            </w:tcBorders>
            <w:shd w:val="clear" w:color="auto" w:fill="auto"/>
            <w:vAlign w:val="center"/>
          </w:tcPr>
          <w:p w14:paraId="3B6175F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5B89C26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保障社会稳中向好</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64D8826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184E840D">
            <w:pPr>
              <w:keepNext/>
              <w:snapToGrid w:val="0"/>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nil"/>
              <w:right w:val="single" w:color="000000" w:sz="4" w:space="0"/>
            </w:tcBorders>
            <w:shd w:val="clear" w:color="auto" w:fill="auto"/>
            <w:vAlign w:val="center"/>
          </w:tcPr>
          <w:p w14:paraId="70D9C43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654A569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07588E36">
            <w:pPr>
              <w:keepNext/>
              <w:snapToGrid w:val="0"/>
              <w:jc w:val="center"/>
              <w:rPr>
                <w:rFonts w:hint="eastAsia" w:ascii="宋体" w:hAnsi="宋体" w:eastAsia="宋体" w:cs="宋体"/>
                <w:i w:val="0"/>
                <w:iCs w:val="0"/>
                <w:color w:val="000000"/>
                <w:sz w:val="18"/>
                <w:szCs w:val="18"/>
                <w:u w:val="none"/>
              </w:rPr>
            </w:pPr>
          </w:p>
        </w:tc>
        <w:tc>
          <w:tcPr>
            <w:tcW w:w="233" w:type="pct"/>
            <w:tcBorders>
              <w:top w:val="single" w:color="000000" w:sz="4" w:space="0"/>
              <w:left w:val="single" w:color="000000" w:sz="4" w:space="0"/>
              <w:bottom w:val="nil"/>
              <w:right w:val="single" w:color="000000" w:sz="4" w:space="0"/>
            </w:tcBorders>
            <w:shd w:val="clear" w:color="auto" w:fill="auto"/>
            <w:vAlign w:val="center"/>
          </w:tcPr>
          <w:p w14:paraId="7CCDCE2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42DE8AD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436E15AC">
            <w:pPr>
              <w:keepNext/>
              <w:snapToGrid w:val="0"/>
              <w:jc w:val="center"/>
              <w:rPr>
                <w:rFonts w:hint="eastAsia" w:ascii="宋体" w:hAnsi="宋体" w:eastAsia="宋体" w:cs="宋体"/>
                <w:i w:val="0"/>
                <w:iCs w:val="0"/>
                <w:color w:val="000000"/>
                <w:sz w:val="18"/>
                <w:szCs w:val="18"/>
                <w:u w:val="none"/>
              </w:rPr>
            </w:pPr>
          </w:p>
        </w:tc>
      </w:tr>
      <w:tr w14:paraId="21384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72EE549F">
            <w:pPr>
              <w:keepNext/>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nil"/>
              <w:right w:val="single" w:color="000000" w:sz="4" w:space="0"/>
            </w:tcBorders>
            <w:shd w:val="clear" w:color="auto" w:fill="auto"/>
            <w:vAlign w:val="center"/>
          </w:tcPr>
          <w:p w14:paraId="0E23ADA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569" w:type="pct"/>
            <w:tcBorders>
              <w:top w:val="single" w:color="000000" w:sz="4" w:space="0"/>
              <w:left w:val="single" w:color="000000" w:sz="4" w:space="0"/>
              <w:bottom w:val="nil"/>
              <w:right w:val="single" w:color="000000" w:sz="4" w:space="0"/>
            </w:tcBorders>
            <w:shd w:val="clear" w:color="auto" w:fill="auto"/>
            <w:vAlign w:val="center"/>
          </w:tcPr>
          <w:p w14:paraId="33B868A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68CB428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公众满意度</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7F8E40F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3386612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0F4AF7B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08DF70E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4099A2F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773C879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7C2E6A5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126275BD">
            <w:pPr>
              <w:keepNext/>
              <w:snapToGrid w:val="0"/>
              <w:jc w:val="center"/>
              <w:rPr>
                <w:rFonts w:hint="eastAsia" w:ascii="宋体" w:hAnsi="宋体" w:eastAsia="宋体" w:cs="宋体"/>
                <w:i w:val="0"/>
                <w:iCs w:val="0"/>
                <w:color w:val="000000"/>
                <w:sz w:val="18"/>
                <w:szCs w:val="18"/>
                <w:u w:val="none"/>
              </w:rPr>
            </w:pPr>
          </w:p>
        </w:tc>
      </w:tr>
      <w:tr w14:paraId="6827F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718"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E018F0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618A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31A0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21854">
            <w:pPr>
              <w:keepNext/>
              <w:snapToGrid w:val="0"/>
              <w:jc w:val="center"/>
              <w:rPr>
                <w:rFonts w:hint="eastAsia" w:ascii="宋体" w:hAnsi="宋体" w:eastAsia="宋体" w:cs="宋体"/>
                <w:i w:val="0"/>
                <w:iCs w:val="0"/>
                <w:color w:val="000000"/>
                <w:sz w:val="18"/>
                <w:szCs w:val="18"/>
                <w:u w:val="none"/>
              </w:rPr>
            </w:pPr>
          </w:p>
        </w:tc>
      </w:tr>
    </w:tbl>
    <w:p w14:paraId="5F93D25F">
      <w:pPr>
        <w:widowControl/>
        <w:spacing w:before="240" w:after="240"/>
        <w:rPr>
          <w:rFonts w:hint="eastAsia" w:ascii="仿宋" w:hAnsi="仿宋" w:eastAsia="仿宋" w:cs="仿宋"/>
          <w:color w:val="0E00FE"/>
          <w:kern w:val="0"/>
          <w:sz w:val="32"/>
          <w:szCs w:val="32"/>
        </w:rPr>
      </w:pPr>
      <w:r>
        <w:rPr>
          <w:rFonts w:hint="eastAsia" w:ascii="仿宋" w:hAnsi="仿宋" w:eastAsia="仿宋" w:cs="仿宋"/>
          <w:color w:val="0E00FE"/>
          <w:kern w:val="0"/>
          <w:sz w:val="32"/>
          <w:szCs w:val="32"/>
        </w:rPr>
        <w:t xml:space="preserve">  </w:t>
      </w:r>
      <w:r>
        <w:rPr>
          <w:rFonts w:hint="eastAsia" w:ascii="仿宋" w:hAnsi="仿宋" w:eastAsia="仿宋" w:cs="仿宋"/>
          <w:color w:val="0E00FE"/>
          <w:kern w:val="0"/>
          <w:sz w:val="32"/>
          <w:szCs w:val="32"/>
          <w:lang w:val="en-US" w:eastAsia="zh-CN"/>
        </w:rPr>
        <w:t xml:space="preserve"> </w:t>
      </w:r>
      <w:r>
        <w:rPr>
          <w:rFonts w:hint="eastAsia" w:ascii="仿宋" w:hAnsi="仿宋" w:eastAsia="仿宋" w:cs="仿宋"/>
          <w:color w:val="0E00FE"/>
          <w:kern w:val="0"/>
          <w:sz w:val="32"/>
          <w:szCs w:val="32"/>
        </w:rPr>
        <w:t xml:space="preserve">  </w:t>
      </w:r>
    </w:p>
    <w:tbl>
      <w:tblPr>
        <w:tblStyle w:val="1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376"/>
        <w:gridCol w:w="22"/>
        <w:gridCol w:w="377"/>
        <w:gridCol w:w="57"/>
        <w:gridCol w:w="805"/>
        <w:gridCol w:w="55"/>
        <w:gridCol w:w="709"/>
        <w:gridCol w:w="255"/>
        <w:gridCol w:w="223"/>
        <w:gridCol w:w="261"/>
        <w:gridCol w:w="227"/>
        <w:gridCol w:w="266"/>
        <w:gridCol w:w="495"/>
        <w:gridCol w:w="193"/>
        <w:gridCol w:w="1046"/>
        <w:gridCol w:w="229"/>
        <w:gridCol w:w="782"/>
        <w:gridCol w:w="180"/>
        <w:gridCol w:w="474"/>
        <w:gridCol w:w="162"/>
        <w:gridCol w:w="849"/>
        <w:gridCol w:w="136"/>
        <w:gridCol w:w="1689"/>
      </w:tblGrid>
      <w:tr w14:paraId="359DA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5000" w:type="pct"/>
            <w:gridSpan w:val="23"/>
            <w:tcBorders>
              <w:top w:val="single" w:color="000000" w:sz="4" w:space="0"/>
              <w:left w:val="single" w:color="000000" w:sz="4" w:space="0"/>
              <w:bottom w:val="single" w:color="000000" w:sz="4" w:space="0"/>
              <w:right w:val="single" w:color="000000" w:sz="4" w:space="0"/>
            </w:tcBorders>
            <w:shd w:val="clear" w:color="auto" w:fill="auto"/>
            <w:vAlign w:val="center"/>
          </w:tcPr>
          <w:p w14:paraId="0D8B63FB">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57C17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E01F32">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606" w:type="pct"/>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695E1A0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免费产前筛查和新生儿疾病筛查项目</w:t>
            </w:r>
          </w:p>
        </w:tc>
      </w:tr>
      <w:tr w14:paraId="586B5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8DFD03">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447"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367A4E6">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99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FA28A6">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164"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B0A8179">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7A31A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2F75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FBD0B">
            <w:pPr>
              <w:snapToGrid w:val="0"/>
              <w:rPr>
                <w:rFonts w:hint="eastAsia" w:ascii="宋体" w:hAnsi="宋体" w:eastAsia="宋体" w:cs="宋体"/>
                <w:i w:val="0"/>
                <w:iCs w:val="0"/>
                <w:color w:val="000000"/>
                <w:sz w:val="18"/>
                <w:szCs w:val="18"/>
                <w:u w:val="none"/>
              </w:rPr>
            </w:pPr>
          </w:p>
        </w:tc>
        <w:tc>
          <w:tcPr>
            <w:tcW w:w="51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5598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49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97776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99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92822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B2E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49D0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B91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D4CF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67612">
            <w:pPr>
              <w:snapToGrid w:val="0"/>
              <w:jc w:val="center"/>
              <w:rPr>
                <w:rFonts w:hint="eastAsia" w:ascii="宋体" w:hAnsi="宋体" w:eastAsia="宋体" w:cs="宋体"/>
                <w:i w:val="0"/>
                <w:iCs w:val="0"/>
                <w:color w:val="000000"/>
                <w:sz w:val="18"/>
                <w:szCs w:val="18"/>
                <w:u w:val="none"/>
              </w:rPr>
            </w:pPr>
          </w:p>
        </w:tc>
        <w:tc>
          <w:tcPr>
            <w:tcW w:w="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FCF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51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06033B">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49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EAA8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99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7821D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4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82B4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5B04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156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43AB1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9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3A173">
            <w:pPr>
              <w:snapToGrid w:val="0"/>
              <w:jc w:val="center"/>
              <w:rPr>
                <w:rFonts w:hint="eastAsia" w:ascii="宋体" w:hAnsi="宋体" w:eastAsia="宋体" w:cs="宋体"/>
                <w:i w:val="0"/>
                <w:iCs w:val="0"/>
                <w:color w:val="000000"/>
                <w:sz w:val="18"/>
                <w:szCs w:val="18"/>
                <w:u w:val="none"/>
              </w:rPr>
            </w:pPr>
          </w:p>
        </w:tc>
        <w:tc>
          <w:tcPr>
            <w:tcW w:w="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448AE7">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51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6B529A">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49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FC24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99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8CB4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4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0DF88">
            <w:pPr>
              <w:keepNext w:val="0"/>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0347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F2B5B">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E755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CB1EB">
            <w:pPr>
              <w:snapToGrid w:val="0"/>
              <w:jc w:val="center"/>
              <w:rPr>
                <w:rFonts w:hint="eastAsia" w:ascii="宋体" w:hAnsi="宋体" w:eastAsia="宋体" w:cs="宋体"/>
                <w:i w:val="0"/>
                <w:iCs w:val="0"/>
                <w:color w:val="000000"/>
                <w:sz w:val="18"/>
                <w:szCs w:val="18"/>
                <w:u w:val="none"/>
              </w:rPr>
            </w:pPr>
          </w:p>
        </w:tc>
        <w:tc>
          <w:tcPr>
            <w:tcW w:w="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7265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51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D06CA7">
            <w:pPr>
              <w:snapToGrid w:val="0"/>
              <w:rPr>
                <w:rFonts w:hint="eastAsia" w:ascii="宋体" w:hAnsi="宋体" w:eastAsia="宋体" w:cs="宋体"/>
                <w:i w:val="0"/>
                <w:iCs w:val="0"/>
                <w:color w:val="000000"/>
                <w:sz w:val="18"/>
                <w:szCs w:val="18"/>
                <w:u w:val="none"/>
              </w:rPr>
            </w:pPr>
          </w:p>
        </w:tc>
        <w:tc>
          <w:tcPr>
            <w:tcW w:w="49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A79791">
            <w:pPr>
              <w:snapToGrid w:val="0"/>
              <w:jc w:val="center"/>
              <w:rPr>
                <w:rFonts w:hint="eastAsia" w:ascii="宋体" w:hAnsi="宋体" w:eastAsia="宋体" w:cs="宋体"/>
                <w:i w:val="0"/>
                <w:iCs w:val="0"/>
                <w:color w:val="000000"/>
                <w:sz w:val="18"/>
                <w:szCs w:val="18"/>
                <w:u w:val="none"/>
              </w:rPr>
            </w:pPr>
          </w:p>
        </w:tc>
        <w:tc>
          <w:tcPr>
            <w:tcW w:w="99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6D1600">
            <w:pPr>
              <w:snapToGrid w:val="0"/>
              <w:jc w:val="center"/>
              <w:rPr>
                <w:rFonts w:hint="eastAsia" w:ascii="宋体" w:hAnsi="宋体" w:eastAsia="宋体" w:cs="宋体"/>
                <w:i w:val="0"/>
                <w:iCs w:val="0"/>
                <w:color w:val="000000"/>
                <w:sz w:val="18"/>
                <w:szCs w:val="18"/>
                <w:u w:val="none"/>
              </w:rPr>
            </w:pPr>
          </w:p>
        </w:tc>
        <w:tc>
          <w:tcPr>
            <w:tcW w:w="4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4A7E2">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AA0FB7">
            <w:pPr>
              <w:snapToGrid w:val="0"/>
              <w:jc w:val="center"/>
              <w:rPr>
                <w:rFonts w:hint="eastAsia" w:ascii="宋体" w:hAnsi="宋体" w:eastAsia="宋体" w:cs="宋体"/>
                <w:i w:val="0"/>
                <w:iCs w:val="0"/>
                <w:color w:val="000000"/>
                <w:sz w:val="18"/>
                <w:szCs w:val="18"/>
                <w:u w:val="none"/>
              </w:rPr>
            </w:pP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C453B">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5410F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9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0F646">
            <w:pPr>
              <w:snapToGrid w:val="0"/>
              <w:jc w:val="center"/>
              <w:rPr>
                <w:rFonts w:hint="eastAsia" w:ascii="宋体" w:hAnsi="宋体" w:eastAsia="宋体" w:cs="宋体"/>
                <w:i w:val="0"/>
                <w:iCs w:val="0"/>
                <w:color w:val="000000"/>
                <w:sz w:val="18"/>
                <w:szCs w:val="18"/>
                <w:u w:val="none"/>
              </w:rPr>
            </w:pPr>
          </w:p>
        </w:tc>
        <w:tc>
          <w:tcPr>
            <w:tcW w:w="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8751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51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017AA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9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4E51D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9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B0C4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91F7E">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B837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A6778">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6089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CDA6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796"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1B514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81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3D41E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6A73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93"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AAF119">
            <w:pPr>
              <w:snapToGrid w:val="0"/>
              <w:jc w:val="center"/>
              <w:rPr>
                <w:rFonts w:hint="eastAsia" w:ascii="宋体" w:hAnsi="宋体" w:eastAsia="宋体" w:cs="宋体"/>
                <w:i w:val="0"/>
                <w:iCs w:val="0"/>
                <w:color w:val="000000"/>
                <w:sz w:val="18"/>
                <w:szCs w:val="18"/>
                <w:u w:val="none"/>
              </w:rPr>
            </w:pPr>
          </w:p>
        </w:tc>
        <w:tc>
          <w:tcPr>
            <w:tcW w:w="1796"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CC0B3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主要用于产前筛查1500人，每人200元，共计30万元，新生儿筛查3000人，每人100元，耳筛3200人，每人60元，共计49万元，保证产前筛查、新生儿筛查对象检测符合率达到100%；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完善产前筛查质量控制和干预体系，做到应查尽查，降低缺陷患儿的出生，提高出生人口素项目总预算金额79万元。</w:t>
            </w:r>
          </w:p>
        </w:tc>
        <w:tc>
          <w:tcPr>
            <w:tcW w:w="281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2F4FE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主要用于产前筛查1500人，每人200元，共计30万元，新生儿筛查3000人，每人100元，耳筛3200人，每人60元，共计49万元，保证产前筛查、新生儿筛查对象检测符合率达到100%；完善产前筛查质量控制和干预体系，做到应查尽查，降低缺陷患儿的出生，提高出生人口素项目总预算金额79万元。</w:t>
            </w:r>
          </w:p>
        </w:tc>
      </w:tr>
      <w:tr w14:paraId="4EC3D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315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50D8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B27A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51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E012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9CAF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4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5A89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65B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64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DBF0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6AE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3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D0B8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228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7E6D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0B108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restart"/>
            <w:tcBorders>
              <w:top w:val="single" w:color="000000" w:sz="4" w:space="0"/>
              <w:left w:val="single" w:color="000000" w:sz="4" w:space="0"/>
              <w:bottom w:val="nil"/>
              <w:right w:val="single" w:color="000000" w:sz="4" w:space="0"/>
            </w:tcBorders>
            <w:shd w:val="clear" w:color="auto" w:fill="auto"/>
            <w:vAlign w:val="center"/>
          </w:tcPr>
          <w:p w14:paraId="6C456D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02"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3CC683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37"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738DBB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551A0A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产前筛查人数</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6206A4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721F44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2D72A3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150F90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0C9277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09CCA7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12B0D1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04507131">
            <w:pPr>
              <w:snapToGrid w:val="0"/>
              <w:jc w:val="center"/>
              <w:rPr>
                <w:rFonts w:hint="eastAsia" w:ascii="宋体" w:hAnsi="宋体" w:eastAsia="宋体" w:cs="宋体"/>
                <w:i w:val="0"/>
                <w:iCs w:val="0"/>
                <w:color w:val="000000"/>
                <w:sz w:val="18"/>
                <w:szCs w:val="18"/>
                <w:u w:val="none"/>
              </w:rPr>
            </w:pPr>
          </w:p>
        </w:tc>
      </w:tr>
      <w:tr w14:paraId="36452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39B42D52">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28369BEF">
            <w:pPr>
              <w:snapToGrid w:val="0"/>
              <w:jc w:val="center"/>
              <w:rPr>
                <w:rFonts w:hint="eastAsia" w:ascii="宋体" w:hAnsi="宋体" w:eastAsia="宋体" w:cs="宋体"/>
                <w:i w:val="0"/>
                <w:iCs w:val="0"/>
                <w:color w:val="000000"/>
                <w:sz w:val="18"/>
                <w:szCs w:val="18"/>
                <w:u w:val="none"/>
              </w:rPr>
            </w:pPr>
          </w:p>
        </w:tc>
        <w:tc>
          <w:tcPr>
            <w:tcW w:w="437"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06BAEA53">
            <w:pPr>
              <w:snapToGrid w:val="0"/>
              <w:jc w:val="center"/>
              <w:rPr>
                <w:rFonts w:hint="eastAsia" w:ascii="宋体" w:hAnsi="宋体" w:eastAsia="宋体" w:cs="宋体"/>
                <w:i w:val="0"/>
                <w:iCs w:val="0"/>
                <w:color w:val="000000"/>
                <w:sz w:val="18"/>
                <w:szCs w:val="18"/>
                <w:u w:val="none"/>
              </w:rPr>
            </w:pP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479B3B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新生儿筛查人数</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043AAC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49ABC3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2C6EFB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7F2018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3E1A5D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582435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6455AA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3D6F563A">
            <w:pPr>
              <w:snapToGrid w:val="0"/>
              <w:jc w:val="center"/>
              <w:rPr>
                <w:rFonts w:hint="eastAsia" w:ascii="宋体" w:hAnsi="宋体" w:eastAsia="宋体" w:cs="宋体"/>
                <w:i w:val="0"/>
                <w:iCs w:val="0"/>
                <w:color w:val="000000"/>
                <w:sz w:val="18"/>
                <w:szCs w:val="18"/>
                <w:u w:val="none"/>
              </w:rPr>
            </w:pPr>
          </w:p>
        </w:tc>
      </w:tr>
      <w:tr w14:paraId="1D37F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63B0136A">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62A7067C">
            <w:pPr>
              <w:snapToGrid w:val="0"/>
              <w:jc w:val="center"/>
              <w:rPr>
                <w:rFonts w:hint="eastAsia" w:ascii="宋体" w:hAnsi="宋体" w:eastAsia="宋体" w:cs="宋体"/>
                <w:i w:val="0"/>
                <w:iCs w:val="0"/>
                <w:color w:val="000000"/>
                <w:sz w:val="18"/>
                <w:szCs w:val="18"/>
                <w:u w:val="none"/>
              </w:rPr>
            </w:pPr>
          </w:p>
        </w:tc>
        <w:tc>
          <w:tcPr>
            <w:tcW w:w="437"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19EE47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0AD4C7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三体综合症三联法筛查检出率</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2F5DCD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44DF81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374D25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40F7AA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70AA14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0A67AA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725366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51E14E41">
            <w:pPr>
              <w:snapToGrid w:val="0"/>
              <w:jc w:val="center"/>
              <w:rPr>
                <w:rFonts w:hint="eastAsia" w:ascii="宋体" w:hAnsi="宋体" w:eastAsia="宋体" w:cs="宋体"/>
                <w:i w:val="0"/>
                <w:iCs w:val="0"/>
                <w:color w:val="000000"/>
                <w:sz w:val="18"/>
                <w:szCs w:val="18"/>
                <w:u w:val="none"/>
              </w:rPr>
            </w:pPr>
          </w:p>
        </w:tc>
      </w:tr>
      <w:tr w14:paraId="48544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36644CDE">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1C64FA8C">
            <w:pPr>
              <w:snapToGrid w:val="0"/>
              <w:jc w:val="center"/>
              <w:rPr>
                <w:rFonts w:hint="eastAsia" w:ascii="宋体" w:hAnsi="宋体" w:eastAsia="宋体" w:cs="宋体"/>
                <w:i w:val="0"/>
                <w:iCs w:val="0"/>
                <w:color w:val="000000"/>
                <w:sz w:val="18"/>
                <w:szCs w:val="18"/>
                <w:u w:val="none"/>
              </w:rPr>
            </w:pPr>
          </w:p>
        </w:tc>
        <w:tc>
          <w:tcPr>
            <w:tcW w:w="437"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016A8512">
            <w:pPr>
              <w:snapToGrid w:val="0"/>
              <w:jc w:val="center"/>
              <w:rPr>
                <w:rFonts w:hint="eastAsia" w:ascii="宋体" w:hAnsi="宋体" w:eastAsia="宋体" w:cs="宋体"/>
                <w:i w:val="0"/>
                <w:iCs w:val="0"/>
                <w:color w:val="000000"/>
                <w:sz w:val="18"/>
                <w:szCs w:val="18"/>
                <w:u w:val="none"/>
              </w:rPr>
            </w:pP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61456B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开放性神经管缺陷三联法筛查检出率</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4CA0E5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582587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654B6C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50EEF4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5A8976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020A3C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22D4FD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646BD3BB">
            <w:pPr>
              <w:snapToGrid w:val="0"/>
              <w:jc w:val="center"/>
              <w:rPr>
                <w:rFonts w:hint="eastAsia" w:ascii="宋体" w:hAnsi="宋体" w:eastAsia="宋体" w:cs="宋体"/>
                <w:i w:val="0"/>
                <w:iCs w:val="0"/>
                <w:color w:val="000000"/>
                <w:sz w:val="18"/>
                <w:szCs w:val="18"/>
                <w:u w:val="none"/>
              </w:rPr>
            </w:pPr>
          </w:p>
        </w:tc>
      </w:tr>
      <w:tr w14:paraId="34888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2127883F">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6785E221">
            <w:pPr>
              <w:snapToGrid w:val="0"/>
              <w:jc w:val="center"/>
              <w:rPr>
                <w:rFonts w:hint="eastAsia" w:ascii="宋体" w:hAnsi="宋体" w:eastAsia="宋体" w:cs="宋体"/>
                <w:i w:val="0"/>
                <w:iCs w:val="0"/>
                <w:color w:val="000000"/>
                <w:sz w:val="18"/>
                <w:szCs w:val="18"/>
                <w:u w:val="none"/>
              </w:rPr>
            </w:pPr>
          </w:p>
        </w:tc>
        <w:tc>
          <w:tcPr>
            <w:tcW w:w="437"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34FA89CF">
            <w:pPr>
              <w:snapToGrid w:val="0"/>
              <w:jc w:val="center"/>
              <w:rPr>
                <w:rFonts w:hint="eastAsia" w:ascii="宋体" w:hAnsi="宋体" w:eastAsia="宋体" w:cs="宋体"/>
                <w:i w:val="0"/>
                <w:iCs w:val="0"/>
                <w:color w:val="000000"/>
                <w:sz w:val="18"/>
                <w:szCs w:val="18"/>
                <w:u w:val="none"/>
              </w:rPr>
            </w:pP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6D4243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产新筛查对象检测符合率</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43CF33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40E23D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08DC99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6DEF29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51E327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1D88D5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3B5A80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687F4F77">
            <w:pPr>
              <w:snapToGrid w:val="0"/>
              <w:jc w:val="center"/>
              <w:rPr>
                <w:rFonts w:hint="eastAsia" w:ascii="宋体" w:hAnsi="宋体" w:eastAsia="宋体" w:cs="宋体"/>
                <w:i w:val="0"/>
                <w:iCs w:val="0"/>
                <w:color w:val="000000"/>
                <w:sz w:val="18"/>
                <w:szCs w:val="18"/>
                <w:u w:val="none"/>
              </w:rPr>
            </w:pPr>
          </w:p>
        </w:tc>
      </w:tr>
      <w:tr w14:paraId="7A152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3E0026E4">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0BE77728">
            <w:pPr>
              <w:snapToGrid w:val="0"/>
              <w:jc w:val="center"/>
              <w:rPr>
                <w:rFonts w:hint="eastAsia" w:ascii="宋体" w:hAnsi="宋体" w:eastAsia="宋体" w:cs="宋体"/>
                <w:i w:val="0"/>
                <w:iCs w:val="0"/>
                <w:color w:val="000000"/>
                <w:sz w:val="18"/>
                <w:szCs w:val="18"/>
                <w:u w:val="none"/>
              </w:rPr>
            </w:pPr>
          </w:p>
        </w:tc>
        <w:tc>
          <w:tcPr>
            <w:tcW w:w="437"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15C906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6492D7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产新筛报告及时率</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250EEA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468B33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56A3EC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57EB74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4B7D8A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5B8B78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1AC4D1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526D5ECF">
            <w:pPr>
              <w:snapToGrid w:val="0"/>
              <w:jc w:val="center"/>
              <w:rPr>
                <w:rFonts w:hint="eastAsia" w:ascii="宋体" w:hAnsi="宋体" w:eastAsia="宋体" w:cs="宋体"/>
                <w:i w:val="0"/>
                <w:iCs w:val="0"/>
                <w:color w:val="000000"/>
                <w:sz w:val="18"/>
                <w:szCs w:val="18"/>
                <w:u w:val="none"/>
              </w:rPr>
            </w:pPr>
          </w:p>
        </w:tc>
      </w:tr>
      <w:tr w14:paraId="30CE8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62CFFD7C">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4D30BA69">
            <w:pPr>
              <w:snapToGrid w:val="0"/>
              <w:jc w:val="center"/>
              <w:rPr>
                <w:rFonts w:hint="eastAsia" w:ascii="宋体" w:hAnsi="宋体" w:eastAsia="宋体" w:cs="宋体"/>
                <w:i w:val="0"/>
                <w:iCs w:val="0"/>
                <w:color w:val="000000"/>
                <w:sz w:val="18"/>
                <w:szCs w:val="18"/>
                <w:u w:val="none"/>
              </w:rPr>
            </w:pPr>
          </w:p>
        </w:tc>
        <w:tc>
          <w:tcPr>
            <w:tcW w:w="437"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78FC2B21">
            <w:pPr>
              <w:snapToGrid w:val="0"/>
              <w:jc w:val="center"/>
              <w:rPr>
                <w:rFonts w:hint="eastAsia" w:ascii="宋体" w:hAnsi="宋体" w:eastAsia="宋体" w:cs="宋体"/>
                <w:i w:val="0"/>
                <w:iCs w:val="0"/>
                <w:color w:val="000000"/>
                <w:sz w:val="18"/>
                <w:szCs w:val="18"/>
                <w:u w:val="none"/>
              </w:rPr>
            </w:pP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15DA45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项目完成时间</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368C13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046212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5F6C2D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30A049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7CA5D2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48A9D0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50E503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72A679FF">
            <w:pPr>
              <w:snapToGrid w:val="0"/>
              <w:jc w:val="center"/>
              <w:rPr>
                <w:rFonts w:hint="eastAsia" w:ascii="宋体" w:hAnsi="宋体" w:eastAsia="宋体" w:cs="宋体"/>
                <w:i w:val="0"/>
                <w:iCs w:val="0"/>
                <w:color w:val="000000"/>
                <w:sz w:val="18"/>
                <w:szCs w:val="18"/>
                <w:u w:val="none"/>
              </w:rPr>
            </w:pPr>
          </w:p>
        </w:tc>
      </w:tr>
      <w:tr w14:paraId="6F7D5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55909162">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69113234">
            <w:pPr>
              <w:snapToGrid w:val="0"/>
              <w:jc w:val="center"/>
              <w:rPr>
                <w:rFonts w:hint="eastAsia" w:ascii="宋体" w:hAnsi="宋体" w:eastAsia="宋体" w:cs="宋体"/>
                <w:i w:val="0"/>
                <w:iCs w:val="0"/>
                <w:color w:val="000000"/>
                <w:sz w:val="18"/>
                <w:szCs w:val="18"/>
                <w:u w:val="none"/>
              </w:rPr>
            </w:pPr>
          </w:p>
        </w:tc>
        <w:tc>
          <w:tcPr>
            <w:tcW w:w="437"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2D0E29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6998B5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产前筛查单位成本</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6D18F0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32D6EF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21954B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0AC6DF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5DB1DD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元/人</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569D48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708EAB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05C0B0F2">
            <w:pPr>
              <w:snapToGrid w:val="0"/>
              <w:jc w:val="center"/>
              <w:rPr>
                <w:rFonts w:hint="eastAsia" w:ascii="宋体" w:hAnsi="宋体" w:eastAsia="宋体" w:cs="宋体"/>
                <w:i w:val="0"/>
                <w:iCs w:val="0"/>
                <w:color w:val="000000"/>
                <w:sz w:val="18"/>
                <w:szCs w:val="18"/>
                <w:u w:val="none"/>
              </w:rPr>
            </w:pPr>
          </w:p>
        </w:tc>
      </w:tr>
      <w:tr w14:paraId="19342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3C53B819">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3AAC3CB0">
            <w:pPr>
              <w:snapToGrid w:val="0"/>
              <w:jc w:val="center"/>
              <w:rPr>
                <w:rFonts w:hint="eastAsia" w:ascii="宋体" w:hAnsi="宋体" w:eastAsia="宋体" w:cs="宋体"/>
                <w:i w:val="0"/>
                <w:iCs w:val="0"/>
                <w:color w:val="000000"/>
                <w:sz w:val="18"/>
                <w:szCs w:val="18"/>
                <w:u w:val="none"/>
              </w:rPr>
            </w:pPr>
          </w:p>
        </w:tc>
        <w:tc>
          <w:tcPr>
            <w:tcW w:w="437"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7F3E2B82">
            <w:pPr>
              <w:snapToGrid w:val="0"/>
              <w:jc w:val="center"/>
              <w:rPr>
                <w:rFonts w:hint="eastAsia" w:ascii="宋体" w:hAnsi="宋体" w:eastAsia="宋体" w:cs="宋体"/>
                <w:i w:val="0"/>
                <w:iCs w:val="0"/>
                <w:color w:val="000000"/>
                <w:sz w:val="18"/>
                <w:szCs w:val="18"/>
                <w:u w:val="none"/>
              </w:rPr>
            </w:pP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55ADC3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新生儿筛查单位成本</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0CB572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70E15D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7DC3E5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5216C6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07C336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元/人</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0B9A69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2AA111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18B55F1D">
            <w:pPr>
              <w:snapToGrid w:val="0"/>
              <w:jc w:val="center"/>
              <w:rPr>
                <w:rFonts w:hint="eastAsia" w:ascii="宋体" w:hAnsi="宋体" w:eastAsia="宋体" w:cs="宋体"/>
                <w:i w:val="0"/>
                <w:iCs w:val="0"/>
                <w:color w:val="000000"/>
                <w:sz w:val="18"/>
                <w:szCs w:val="18"/>
                <w:u w:val="none"/>
              </w:rPr>
            </w:pPr>
          </w:p>
        </w:tc>
      </w:tr>
      <w:tr w14:paraId="6B650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22F3F88D">
            <w:pPr>
              <w:snapToGrid w:val="0"/>
              <w:jc w:val="center"/>
              <w:rPr>
                <w:rFonts w:hint="eastAsia" w:ascii="宋体" w:hAnsi="宋体" w:eastAsia="宋体" w:cs="宋体"/>
                <w:i w:val="0"/>
                <w:iCs w:val="0"/>
                <w:color w:val="000000"/>
                <w:sz w:val="18"/>
                <w:szCs w:val="18"/>
                <w:u w:val="none"/>
              </w:rPr>
            </w:pPr>
          </w:p>
        </w:tc>
        <w:tc>
          <w:tcPr>
            <w:tcW w:w="202"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2B69DD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37" w:type="pct"/>
            <w:gridSpan w:val="2"/>
            <w:tcBorders>
              <w:top w:val="single" w:color="000000" w:sz="4" w:space="0"/>
              <w:left w:val="single" w:color="000000" w:sz="4" w:space="0"/>
              <w:bottom w:val="nil"/>
              <w:right w:val="single" w:color="000000" w:sz="4" w:space="0"/>
            </w:tcBorders>
            <w:shd w:val="clear" w:color="auto" w:fill="auto"/>
            <w:vAlign w:val="center"/>
          </w:tcPr>
          <w:p w14:paraId="697332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3E4243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完善产前筛查质量控制和干预体系</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6A5432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1C358320">
            <w:pPr>
              <w:snapToGrid w:val="0"/>
              <w:jc w:val="center"/>
              <w:rPr>
                <w:rFonts w:hint="eastAsia" w:ascii="宋体" w:hAnsi="宋体" w:eastAsia="宋体" w:cs="宋体"/>
                <w:i w:val="0"/>
                <w:iCs w:val="0"/>
                <w:color w:val="000000"/>
                <w:sz w:val="18"/>
                <w:szCs w:val="18"/>
                <w:u w:val="none"/>
              </w:rPr>
            </w:pP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5B73B2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完善</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5665E6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29C275E0">
            <w:pPr>
              <w:snapToGrid w:val="0"/>
              <w:jc w:val="center"/>
              <w:rPr>
                <w:rFonts w:hint="eastAsia" w:ascii="宋体" w:hAnsi="宋体" w:eastAsia="宋体" w:cs="宋体"/>
                <w:i w:val="0"/>
                <w:iCs w:val="0"/>
                <w:color w:val="000000"/>
                <w:sz w:val="18"/>
                <w:szCs w:val="18"/>
                <w:u w:val="none"/>
              </w:rPr>
            </w:pP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776F17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097FDC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5B9BDF78">
            <w:pPr>
              <w:snapToGrid w:val="0"/>
              <w:jc w:val="center"/>
              <w:rPr>
                <w:rFonts w:hint="eastAsia" w:ascii="宋体" w:hAnsi="宋体" w:eastAsia="宋体" w:cs="宋体"/>
                <w:i w:val="0"/>
                <w:iCs w:val="0"/>
                <w:color w:val="000000"/>
                <w:sz w:val="18"/>
                <w:szCs w:val="18"/>
                <w:u w:val="none"/>
              </w:rPr>
            </w:pPr>
          </w:p>
        </w:tc>
      </w:tr>
      <w:tr w14:paraId="413D1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4FAB3F9C">
            <w:pPr>
              <w:snapToGrid w:val="0"/>
              <w:jc w:val="center"/>
              <w:rPr>
                <w:rFonts w:hint="eastAsia" w:ascii="宋体" w:hAnsi="宋体" w:eastAsia="宋体" w:cs="宋体"/>
                <w:i w:val="0"/>
                <w:iCs w:val="0"/>
                <w:color w:val="000000"/>
                <w:sz w:val="18"/>
                <w:szCs w:val="18"/>
                <w:u w:val="none"/>
              </w:rPr>
            </w:pPr>
          </w:p>
        </w:tc>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3DAF7562">
            <w:pPr>
              <w:snapToGrid w:val="0"/>
              <w:jc w:val="center"/>
              <w:rPr>
                <w:rFonts w:hint="eastAsia" w:ascii="宋体" w:hAnsi="宋体" w:eastAsia="宋体" w:cs="宋体"/>
                <w:i w:val="0"/>
                <w:iCs w:val="0"/>
                <w:color w:val="000000"/>
                <w:sz w:val="18"/>
                <w:szCs w:val="18"/>
                <w:u w:val="none"/>
              </w:rPr>
            </w:pPr>
          </w:p>
        </w:tc>
        <w:tc>
          <w:tcPr>
            <w:tcW w:w="437" w:type="pct"/>
            <w:gridSpan w:val="2"/>
            <w:tcBorders>
              <w:top w:val="single" w:color="000000" w:sz="4" w:space="0"/>
              <w:left w:val="single" w:color="000000" w:sz="4" w:space="0"/>
              <w:bottom w:val="nil"/>
              <w:right w:val="single" w:color="000000" w:sz="4" w:space="0"/>
            </w:tcBorders>
            <w:shd w:val="clear" w:color="auto" w:fill="auto"/>
            <w:vAlign w:val="center"/>
          </w:tcPr>
          <w:p w14:paraId="069B32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405D68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降低缺陷患儿的出生</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03F8F5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1374FC80">
            <w:pPr>
              <w:snapToGrid w:val="0"/>
              <w:jc w:val="center"/>
              <w:rPr>
                <w:rFonts w:hint="eastAsia" w:ascii="宋体" w:hAnsi="宋体" w:eastAsia="宋体" w:cs="宋体"/>
                <w:i w:val="0"/>
                <w:iCs w:val="0"/>
                <w:color w:val="000000"/>
                <w:sz w:val="18"/>
                <w:szCs w:val="18"/>
                <w:u w:val="none"/>
              </w:rPr>
            </w:pP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655CE5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降低</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6CA241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4F8DB064">
            <w:pPr>
              <w:snapToGrid w:val="0"/>
              <w:jc w:val="center"/>
              <w:rPr>
                <w:rFonts w:hint="eastAsia" w:ascii="宋体" w:hAnsi="宋体" w:eastAsia="宋体" w:cs="宋体"/>
                <w:i w:val="0"/>
                <w:iCs w:val="0"/>
                <w:color w:val="000000"/>
                <w:sz w:val="18"/>
                <w:szCs w:val="18"/>
                <w:u w:val="none"/>
              </w:rPr>
            </w:pP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03A246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0F5CE3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09B6CBAF">
            <w:pPr>
              <w:snapToGrid w:val="0"/>
              <w:jc w:val="center"/>
              <w:rPr>
                <w:rFonts w:hint="eastAsia" w:ascii="宋体" w:hAnsi="宋体" w:eastAsia="宋体" w:cs="宋体"/>
                <w:i w:val="0"/>
                <w:iCs w:val="0"/>
                <w:color w:val="000000"/>
                <w:sz w:val="18"/>
                <w:szCs w:val="18"/>
                <w:u w:val="none"/>
              </w:rPr>
            </w:pPr>
          </w:p>
        </w:tc>
      </w:tr>
      <w:tr w14:paraId="3BBA3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4AED802B">
            <w:pPr>
              <w:snapToGrid w:val="0"/>
              <w:jc w:val="center"/>
              <w:rPr>
                <w:rFonts w:hint="eastAsia" w:ascii="宋体" w:hAnsi="宋体" w:eastAsia="宋体" w:cs="宋体"/>
                <w:i w:val="0"/>
                <w:iCs w:val="0"/>
                <w:color w:val="000000"/>
                <w:sz w:val="18"/>
                <w:szCs w:val="18"/>
                <w:u w:val="none"/>
              </w:rPr>
            </w:pPr>
          </w:p>
        </w:tc>
        <w:tc>
          <w:tcPr>
            <w:tcW w:w="202" w:type="pct"/>
            <w:gridSpan w:val="2"/>
            <w:tcBorders>
              <w:top w:val="single" w:color="000000" w:sz="4" w:space="0"/>
              <w:left w:val="single" w:color="000000" w:sz="4" w:space="0"/>
              <w:bottom w:val="nil"/>
              <w:right w:val="single" w:color="000000" w:sz="4" w:space="0"/>
            </w:tcBorders>
            <w:shd w:val="clear" w:color="auto" w:fill="auto"/>
            <w:vAlign w:val="center"/>
          </w:tcPr>
          <w:p w14:paraId="711DA3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37" w:type="pct"/>
            <w:gridSpan w:val="2"/>
            <w:tcBorders>
              <w:top w:val="single" w:color="000000" w:sz="4" w:space="0"/>
              <w:left w:val="single" w:color="000000" w:sz="4" w:space="0"/>
              <w:bottom w:val="nil"/>
              <w:right w:val="single" w:color="000000" w:sz="4" w:space="0"/>
            </w:tcBorders>
            <w:shd w:val="clear" w:color="auto" w:fill="auto"/>
            <w:vAlign w:val="center"/>
          </w:tcPr>
          <w:p w14:paraId="70A378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516" w:type="pct"/>
            <w:gridSpan w:val="3"/>
            <w:tcBorders>
              <w:top w:val="single" w:color="000000" w:sz="4" w:space="0"/>
              <w:left w:val="single" w:color="000000" w:sz="4" w:space="0"/>
              <w:bottom w:val="nil"/>
              <w:right w:val="single" w:color="000000" w:sz="4" w:space="0"/>
            </w:tcBorders>
            <w:shd w:val="clear" w:color="auto" w:fill="auto"/>
            <w:vAlign w:val="center"/>
          </w:tcPr>
          <w:p w14:paraId="621899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病人满意率</w:t>
            </w:r>
          </w:p>
        </w:tc>
        <w:tc>
          <w:tcPr>
            <w:tcW w:w="245" w:type="pct"/>
            <w:gridSpan w:val="2"/>
            <w:tcBorders>
              <w:top w:val="single" w:color="000000" w:sz="4" w:space="0"/>
              <w:left w:val="single" w:color="000000" w:sz="4" w:space="0"/>
              <w:bottom w:val="nil"/>
              <w:right w:val="single" w:color="000000" w:sz="4" w:space="0"/>
            </w:tcBorders>
            <w:shd w:val="clear" w:color="auto" w:fill="auto"/>
            <w:vAlign w:val="center"/>
          </w:tcPr>
          <w:p w14:paraId="078E4C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7" w:type="pct"/>
            <w:gridSpan w:val="2"/>
            <w:tcBorders>
              <w:top w:val="single" w:color="000000" w:sz="4" w:space="0"/>
              <w:left w:val="single" w:color="000000" w:sz="4" w:space="0"/>
              <w:bottom w:val="nil"/>
              <w:right w:val="single" w:color="000000" w:sz="4" w:space="0"/>
            </w:tcBorders>
            <w:shd w:val="clear" w:color="auto" w:fill="auto"/>
            <w:vAlign w:val="center"/>
          </w:tcPr>
          <w:p w14:paraId="1798E6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gridSpan w:val="2"/>
            <w:tcBorders>
              <w:top w:val="single" w:color="000000" w:sz="4" w:space="0"/>
              <w:left w:val="single" w:color="000000" w:sz="4" w:space="0"/>
              <w:bottom w:val="nil"/>
              <w:right w:val="single" w:color="000000" w:sz="4" w:space="0"/>
            </w:tcBorders>
            <w:shd w:val="clear" w:color="auto" w:fill="auto"/>
            <w:vAlign w:val="center"/>
          </w:tcPr>
          <w:p w14:paraId="299C17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46" w:type="pct"/>
            <w:gridSpan w:val="2"/>
            <w:tcBorders>
              <w:top w:val="single" w:color="000000" w:sz="4" w:space="0"/>
              <w:left w:val="single" w:color="000000" w:sz="4" w:space="0"/>
              <w:bottom w:val="nil"/>
              <w:right w:val="single" w:color="000000" w:sz="4" w:space="0"/>
            </w:tcBorders>
            <w:shd w:val="clear" w:color="auto" w:fill="auto"/>
            <w:vAlign w:val="center"/>
          </w:tcPr>
          <w:p w14:paraId="1306FD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84" w:type="pct"/>
            <w:gridSpan w:val="2"/>
            <w:tcBorders>
              <w:top w:val="single" w:color="000000" w:sz="4" w:space="0"/>
              <w:left w:val="single" w:color="000000" w:sz="4" w:space="0"/>
              <w:bottom w:val="nil"/>
              <w:right w:val="single" w:color="000000" w:sz="4" w:space="0"/>
            </w:tcBorders>
            <w:shd w:val="clear" w:color="auto" w:fill="auto"/>
            <w:vAlign w:val="center"/>
          </w:tcPr>
          <w:p w14:paraId="2DDAF8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2" w:type="pct"/>
            <w:gridSpan w:val="2"/>
            <w:tcBorders>
              <w:top w:val="single" w:color="000000" w:sz="4" w:space="0"/>
              <w:left w:val="single" w:color="000000" w:sz="4" w:space="0"/>
              <w:bottom w:val="nil"/>
              <w:right w:val="single" w:color="000000" w:sz="4" w:space="0"/>
            </w:tcBorders>
            <w:shd w:val="clear" w:color="auto" w:fill="auto"/>
            <w:vAlign w:val="center"/>
          </w:tcPr>
          <w:p w14:paraId="6E6A21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98" w:type="pct"/>
            <w:gridSpan w:val="2"/>
            <w:tcBorders>
              <w:top w:val="single" w:color="000000" w:sz="4" w:space="0"/>
              <w:left w:val="single" w:color="000000" w:sz="4" w:space="0"/>
              <w:bottom w:val="nil"/>
              <w:right w:val="single" w:color="000000" w:sz="4" w:space="0"/>
            </w:tcBorders>
            <w:shd w:val="clear" w:color="auto" w:fill="auto"/>
            <w:vAlign w:val="center"/>
          </w:tcPr>
          <w:p w14:paraId="7E383B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61DF8B0F">
            <w:pPr>
              <w:snapToGrid w:val="0"/>
              <w:jc w:val="center"/>
              <w:rPr>
                <w:rFonts w:hint="eastAsia" w:ascii="宋体" w:hAnsi="宋体" w:eastAsia="宋体" w:cs="宋体"/>
                <w:i w:val="0"/>
                <w:iCs w:val="0"/>
                <w:color w:val="000000"/>
                <w:sz w:val="18"/>
                <w:szCs w:val="18"/>
                <w:u w:val="none"/>
              </w:rPr>
            </w:pPr>
          </w:p>
        </w:tc>
      </w:tr>
      <w:tr w14:paraId="6C323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320" w:type="pct"/>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6C5D1C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B88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E51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4928B">
            <w:pPr>
              <w:snapToGrid w:val="0"/>
              <w:jc w:val="center"/>
              <w:rPr>
                <w:rFonts w:hint="eastAsia" w:ascii="宋体" w:hAnsi="宋体" w:eastAsia="宋体" w:cs="宋体"/>
                <w:i w:val="0"/>
                <w:iCs w:val="0"/>
                <w:color w:val="000000"/>
                <w:sz w:val="18"/>
                <w:szCs w:val="18"/>
                <w:u w:val="none"/>
              </w:rPr>
            </w:pPr>
          </w:p>
        </w:tc>
      </w:tr>
      <w:tr w14:paraId="4F8C5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000" w:type="pct"/>
            <w:gridSpan w:val="23"/>
            <w:tcBorders>
              <w:top w:val="single" w:color="000000" w:sz="4" w:space="0"/>
              <w:left w:val="single" w:color="000000" w:sz="4" w:space="0"/>
              <w:bottom w:val="single" w:color="000000" w:sz="4" w:space="0"/>
              <w:right w:val="single" w:color="000000" w:sz="4" w:space="0"/>
            </w:tcBorders>
            <w:shd w:val="clear" w:color="auto" w:fill="auto"/>
            <w:vAlign w:val="center"/>
          </w:tcPr>
          <w:p w14:paraId="5801CC85">
            <w:pPr>
              <w:keepNext/>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1D436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A19482D">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577" w:type="pct"/>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74451607">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健康驿站建设项目</w:t>
            </w:r>
          </w:p>
        </w:tc>
      </w:tr>
      <w:tr w14:paraId="5AE10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42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2DC759">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284"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8154F1D">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10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F0A02A">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27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F19181F">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7E751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2"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4B9B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A01878">
            <w:pPr>
              <w:keepNext/>
              <w:snapToGrid w:val="0"/>
              <w:rPr>
                <w:rFonts w:hint="eastAsia" w:ascii="宋体" w:hAnsi="宋体" w:eastAsia="宋体" w:cs="宋体"/>
                <w:i w:val="0"/>
                <w:iCs w:val="0"/>
                <w:color w:val="000000"/>
                <w:sz w:val="18"/>
                <w:szCs w:val="18"/>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581F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48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2EBA1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0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8AA95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5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F68C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A6A6E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8C6A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5270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B7B8E">
            <w:pPr>
              <w:keepNext/>
              <w:snapToGrid w:val="0"/>
              <w:jc w:val="center"/>
              <w:rPr>
                <w:rFonts w:hint="eastAsia" w:ascii="宋体" w:hAnsi="宋体" w:eastAsia="宋体" w:cs="宋体"/>
                <w:i w:val="0"/>
                <w:iCs w:val="0"/>
                <w:color w:val="000000"/>
                <w:sz w:val="18"/>
                <w:szCs w:val="18"/>
                <w:u w:val="none"/>
              </w:rPr>
            </w:pPr>
          </w:p>
        </w:tc>
        <w:tc>
          <w:tcPr>
            <w:tcW w:w="4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CE98C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C7A14">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8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9CC3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10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246C6B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5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7F153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EE73F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AD21D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1F6BF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AEDCB">
            <w:pPr>
              <w:keepNext/>
              <w:snapToGrid w:val="0"/>
              <w:jc w:val="center"/>
              <w:rPr>
                <w:rFonts w:hint="eastAsia" w:ascii="宋体" w:hAnsi="宋体" w:eastAsia="宋体" w:cs="宋体"/>
                <w:i w:val="0"/>
                <w:iCs w:val="0"/>
                <w:color w:val="000000"/>
                <w:sz w:val="18"/>
                <w:szCs w:val="18"/>
                <w:u w:val="none"/>
              </w:rPr>
            </w:pPr>
          </w:p>
        </w:tc>
        <w:tc>
          <w:tcPr>
            <w:tcW w:w="4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BB1EE">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45397">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8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04456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10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DB4EE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50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132A6">
            <w:pPr>
              <w:keepNext/>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2B545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3A6C4">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5C72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56461">
            <w:pPr>
              <w:keepNext/>
              <w:snapToGrid w:val="0"/>
              <w:jc w:val="center"/>
              <w:rPr>
                <w:rFonts w:hint="eastAsia" w:ascii="宋体" w:hAnsi="宋体" w:eastAsia="宋体" w:cs="宋体"/>
                <w:i w:val="0"/>
                <w:iCs w:val="0"/>
                <w:color w:val="000000"/>
                <w:sz w:val="18"/>
                <w:szCs w:val="18"/>
                <w:u w:val="none"/>
              </w:rPr>
            </w:pPr>
          </w:p>
        </w:tc>
        <w:tc>
          <w:tcPr>
            <w:tcW w:w="4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824D6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13E45">
            <w:pPr>
              <w:keepNext/>
              <w:snapToGrid w:val="0"/>
              <w:rPr>
                <w:rFonts w:hint="eastAsia" w:ascii="宋体" w:hAnsi="宋体" w:eastAsia="宋体" w:cs="宋体"/>
                <w:i w:val="0"/>
                <w:iCs w:val="0"/>
                <w:color w:val="000000"/>
                <w:sz w:val="18"/>
                <w:szCs w:val="18"/>
                <w:u w:val="none"/>
              </w:rPr>
            </w:pPr>
          </w:p>
        </w:tc>
        <w:tc>
          <w:tcPr>
            <w:tcW w:w="48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E3542E">
            <w:pPr>
              <w:keepNext/>
              <w:snapToGrid w:val="0"/>
              <w:jc w:val="center"/>
              <w:rPr>
                <w:rFonts w:hint="eastAsia" w:ascii="宋体" w:hAnsi="宋体" w:eastAsia="宋体" w:cs="宋体"/>
                <w:i w:val="0"/>
                <w:iCs w:val="0"/>
                <w:color w:val="000000"/>
                <w:sz w:val="18"/>
                <w:szCs w:val="18"/>
                <w:u w:val="none"/>
              </w:rPr>
            </w:pPr>
          </w:p>
        </w:tc>
        <w:tc>
          <w:tcPr>
            <w:tcW w:w="10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ACDB61">
            <w:pPr>
              <w:keepNext/>
              <w:snapToGrid w:val="0"/>
              <w:jc w:val="center"/>
              <w:rPr>
                <w:rFonts w:hint="eastAsia" w:ascii="宋体" w:hAnsi="宋体" w:eastAsia="宋体" w:cs="宋体"/>
                <w:i w:val="0"/>
                <w:iCs w:val="0"/>
                <w:color w:val="000000"/>
                <w:sz w:val="18"/>
                <w:szCs w:val="18"/>
                <w:u w:val="none"/>
              </w:rPr>
            </w:pPr>
          </w:p>
        </w:tc>
        <w:tc>
          <w:tcPr>
            <w:tcW w:w="50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2D77E">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252CE7">
            <w:pPr>
              <w:keepNext/>
              <w:snapToGrid w:val="0"/>
              <w:jc w:val="center"/>
              <w:rPr>
                <w:rFonts w:hint="eastAsia" w:ascii="宋体" w:hAnsi="宋体" w:eastAsia="宋体" w:cs="宋体"/>
                <w:i w:val="0"/>
                <w:iCs w:val="0"/>
                <w:color w:val="000000"/>
                <w:sz w:val="18"/>
                <w:szCs w:val="18"/>
                <w:u w:val="none"/>
              </w:rPr>
            </w:pP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7849D">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03393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42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E497F">
            <w:pPr>
              <w:keepNext/>
              <w:snapToGrid w:val="0"/>
              <w:jc w:val="center"/>
              <w:rPr>
                <w:rFonts w:hint="eastAsia" w:ascii="宋体" w:hAnsi="宋体" w:eastAsia="宋体" w:cs="宋体"/>
                <w:i w:val="0"/>
                <w:iCs w:val="0"/>
                <w:color w:val="000000"/>
                <w:sz w:val="18"/>
                <w:szCs w:val="18"/>
                <w:u w:val="none"/>
              </w:rPr>
            </w:pPr>
          </w:p>
        </w:tc>
        <w:tc>
          <w:tcPr>
            <w:tcW w:w="4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7276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B69D5">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8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75467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01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3D53A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0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30FD8">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EE02E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6517B">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117D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2"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4926A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669"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D75BE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908"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563C7F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D8FC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2"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D5FAE">
            <w:pPr>
              <w:keepNext/>
              <w:snapToGrid w:val="0"/>
              <w:jc w:val="center"/>
              <w:rPr>
                <w:rFonts w:hint="eastAsia" w:ascii="宋体" w:hAnsi="宋体" w:eastAsia="宋体" w:cs="宋体"/>
                <w:i w:val="0"/>
                <w:iCs w:val="0"/>
                <w:color w:val="000000"/>
                <w:sz w:val="18"/>
                <w:szCs w:val="18"/>
                <w:u w:val="none"/>
              </w:rPr>
            </w:pPr>
          </w:p>
        </w:tc>
        <w:tc>
          <w:tcPr>
            <w:tcW w:w="1669"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43246D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建立高覆盖,高品质全方位的社区医疗服务网络,增加优质服务供给,推进"智慧医疗"服务,提升一钟生活圈健康服务水平</w:t>
            </w:r>
          </w:p>
        </w:tc>
        <w:tc>
          <w:tcPr>
            <w:tcW w:w="2908"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604271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健康驿站是由基层医疗卫生设立的为居民提供自助检查.个性化健康教育服务场所'建立高覆盖,高品质全方位的社区医疗服务网络,增加优质服务供给,推进"智慧医疗"服务,提升一钟生活圈健康服务水平。该资金是用于支付健康驿站尾款。以全部付清。</w:t>
            </w:r>
          </w:p>
        </w:tc>
      </w:tr>
      <w:tr w14:paraId="35933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6F46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9819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3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9D0C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5C9A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CBCD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4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76CF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70998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6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D32C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5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7B461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DB13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A336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A4671">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2D8E8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1409BCD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19"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5BC1353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36"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644B324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359" w:type="pct"/>
            <w:tcBorders>
              <w:top w:val="single" w:color="000000" w:sz="4" w:space="0"/>
              <w:left w:val="single" w:color="000000" w:sz="4" w:space="0"/>
              <w:bottom w:val="nil"/>
              <w:right w:val="single" w:color="000000" w:sz="4" w:space="0"/>
            </w:tcBorders>
            <w:shd w:val="clear" w:color="auto" w:fill="auto"/>
            <w:vAlign w:val="center"/>
          </w:tcPr>
          <w:p w14:paraId="361451C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为居民提供自检服务</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6CE461F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6F29168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06A3338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3B274F6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5F08C70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24CBC6D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19A2E7A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6C69F67D">
            <w:pPr>
              <w:keepNext/>
              <w:snapToGrid w:val="0"/>
              <w:jc w:val="center"/>
              <w:rPr>
                <w:rFonts w:hint="eastAsia" w:ascii="宋体" w:hAnsi="宋体" w:eastAsia="宋体" w:cs="宋体"/>
                <w:i w:val="0"/>
                <w:iCs w:val="0"/>
                <w:color w:val="000000"/>
                <w:sz w:val="18"/>
                <w:szCs w:val="18"/>
                <w:u w:val="none"/>
              </w:rPr>
            </w:pPr>
          </w:p>
        </w:tc>
      </w:tr>
      <w:tr w14:paraId="19837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3272C98B">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782C5C30">
            <w:pPr>
              <w:keepNext/>
              <w:snapToGrid w:val="0"/>
              <w:jc w:val="center"/>
              <w:rPr>
                <w:rFonts w:hint="eastAsia" w:ascii="宋体" w:hAnsi="宋体" w:eastAsia="宋体" w:cs="宋体"/>
                <w:i w:val="0"/>
                <w:iCs w:val="0"/>
                <w:color w:val="000000"/>
                <w:sz w:val="18"/>
                <w:szCs w:val="18"/>
                <w:u w:val="none"/>
              </w:rPr>
            </w:pPr>
          </w:p>
        </w:tc>
        <w:tc>
          <w:tcPr>
            <w:tcW w:w="436"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1C7ADD72">
            <w:pPr>
              <w:keepNext/>
              <w:snapToGrid w:val="0"/>
              <w:jc w:val="center"/>
              <w:rPr>
                <w:rFonts w:hint="eastAsia" w:ascii="宋体" w:hAnsi="宋体" w:eastAsia="宋体" w:cs="宋体"/>
                <w:i w:val="0"/>
                <w:iCs w:val="0"/>
                <w:color w:val="000000"/>
                <w:sz w:val="18"/>
                <w:szCs w:val="18"/>
                <w:u w:val="none"/>
              </w:rPr>
            </w:pPr>
          </w:p>
        </w:tc>
        <w:tc>
          <w:tcPr>
            <w:tcW w:w="359" w:type="pct"/>
            <w:tcBorders>
              <w:top w:val="single" w:color="000000" w:sz="4" w:space="0"/>
              <w:left w:val="single" w:color="000000" w:sz="4" w:space="0"/>
              <w:bottom w:val="nil"/>
              <w:right w:val="single" w:color="000000" w:sz="4" w:space="0"/>
            </w:tcBorders>
            <w:shd w:val="clear" w:color="auto" w:fill="auto"/>
            <w:vAlign w:val="center"/>
          </w:tcPr>
          <w:p w14:paraId="2A729D5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服务点</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6B07BF9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36CC7E6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58855FC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4DC0E73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129A595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0AF7344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0844558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2029214D">
            <w:pPr>
              <w:keepNext/>
              <w:snapToGrid w:val="0"/>
              <w:jc w:val="center"/>
              <w:rPr>
                <w:rFonts w:hint="eastAsia" w:ascii="宋体" w:hAnsi="宋体" w:eastAsia="宋体" w:cs="宋体"/>
                <w:i w:val="0"/>
                <w:iCs w:val="0"/>
                <w:color w:val="000000"/>
                <w:sz w:val="18"/>
                <w:szCs w:val="18"/>
                <w:u w:val="none"/>
              </w:rPr>
            </w:pPr>
          </w:p>
        </w:tc>
      </w:tr>
      <w:tr w14:paraId="78F40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1D275848">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3F09D67E">
            <w:pPr>
              <w:keepNext/>
              <w:snapToGrid w:val="0"/>
              <w:jc w:val="center"/>
              <w:rPr>
                <w:rFonts w:hint="eastAsia" w:ascii="宋体" w:hAnsi="宋体" w:eastAsia="宋体" w:cs="宋体"/>
                <w:i w:val="0"/>
                <w:iCs w:val="0"/>
                <w:color w:val="000000"/>
                <w:sz w:val="18"/>
                <w:szCs w:val="18"/>
                <w:u w:val="none"/>
              </w:rPr>
            </w:pPr>
          </w:p>
        </w:tc>
        <w:tc>
          <w:tcPr>
            <w:tcW w:w="436"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49E1B9F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359" w:type="pct"/>
            <w:tcBorders>
              <w:top w:val="single" w:color="000000" w:sz="4" w:space="0"/>
              <w:left w:val="single" w:color="000000" w:sz="4" w:space="0"/>
              <w:bottom w:val="nil"/>
              <w:right w:val="single" w:color="000000" w:sz="4" w:space="0"/>
            </w:tcBorders>
            <w:shd w:val="clear" w:color="auto" w:fill="auto"/>
            <w:vAlign w:val="center"/>
          </w:tcPr>
          <w:p w14:paraId="1244C02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项目验收合格率</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12F2B32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7556B5D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446C482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33A2E5C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62312B2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483EE57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6F6A79F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06B965D8">
            <w:pPr>
              <w:keepNext/>
              <w:snapToGrid w:val="0"/>
              <w:jc w:val="center"/>
              <w:rPr>
                <w:rFonts w:hint="eastAsia" w:ascii="宋体" w:hAnsi="宋体" w:eastAsia="宋体" w:cs="宋体"/>
                <w:i w:val="0"/>
                <w:iCs w:val="0"/>
                <w:color w:val="000000"/>
                <w:sz w:val="18"/>
                <w:szCs w:val="18"/>
                <w:u w:val="none"/>
              </w:rPr>
            </w:pPr>
          </w:p>
        </w:tc>
      </w:tr>
      <w:tr w14:paraId="217A7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66E0100F">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6034C8BB">
            <w:pPr>
              <w:keepNext/>
              <w:snapToGrid w:val="0"/>
              <w:jc w:val="center"/>
              <w:rPr>
                <w:rFonts w:hint="eastAsia" w:ascii="宋体" w:hAnsi="宋体" w:eastAsia="宋体" w:cs="宋体"/>
                <w:i w:val="0"/>
                <w:iCs w:val="0"/>
                <w:color w:val="000000"/>
                <w:sz w:val="18"/>
                <w:szCs w:val="18"/>
                <w:u w:val="none"/>
              </w:rPr>
            </w:pPr>
          </w:p>
        </w:tc>
        <w:tc>
          <w:tcPr>
            <w:tcW w:w="436"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510F3E7A">
            <w:pPr>
              <w:keepNext/>
              <w:snapToGrid w:val="0"/>
              <w:jc w:val="center"/>
              <w:rPr>
                <w:rFonts w:hint="eastAsia" w:ascii="宋体" w:hAnsi="宋体" w:eastAsia="宋体" w:cs="宋体"/>
                <w:i w:val="0"/>
                <w:iCs w:val="0"/>
                <w:color w:val="000000"/>
                <w:sz w:val="18"/>
                <w:szCs w:val="18"/>
                <w:u w:val="none"/>
              </w:rPr>
            </w:pPr>
          </w:p>
        </w:tc>
        <w:tc>
          <w:tcPr>
            <w:tcW w:w="359" w:type="pct"/>
            <w:tcBorders>
              <w:top w:val="single" w:color="000000" w:sz="4" w:space="0"/>
              <w:left w:val="single" w:color="000000" w:sz="4" w:space="0"/>
              <w:bottom w:val="nil"/>
              <w:right w:val="single" w:color="000000" w:sz="4" w:space="0"/>
            </w:tcBorders>
            <w:shd w:val="clear" w:color="auto" w:fill="auto"/>
            <w:vAlign w:val="center"/>
          </w:tcPr>
          <w:p w14:paraId="2AD7F93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服务覆盖率</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1A41F09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10D353D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3441D0F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48D566C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1E54F02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76889C5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4591AF8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5F252BAD">
            <w:pPr>
              <w:keepNext/>
              <w:snapToGrid w:val="0"/>
              <w:jc w:val="center"/>
              <w:rPr>
                <w:rFonts w:hint="eastAsia" w:ascii="宋体" w:hAnsi="宋体" w:eastAsia="宋体" w:cs="宋体"/>
                <w:i w:val="0"/>
                <w:iCs w:val="0"/>
                <w:color w:val="000000"/>
                <w:sz w:val="18"/>
                <w:szCs w:val="18"/>
                <w:u w:val="none"/>
              </w:rPr>
            </w:pPr>
          </w:p>
        </w:tc>
      </w:tr>
      <w:tr w14:paraId="4417B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674E69F7">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03BFC6E3">
            <w:pPr>
              <w:keepNext/>
              <w:snapToGrid w:val="0"/>
              <w:jc w:val="center"/>
              <w:rPr>
                <w:rFonts w:hint="eastAsia" w:ascii="宋体" w:hAnsi="宋体" w:eastAsia="宋体" w:cs="宋体"/>
                <w:i w:val="0"/>
                <w:iCs w:val="0"/>
                <w:color w:val="000000"/>
                <w:sz w:val="18"/>
                <w:szCs w:val="18"/>
                <w:u w:val="none"/>
              </w:rPr>
            </w:pPr>
          </w:p>
        </w:tc>
        <w:tc>
          <w:tcPr>
            <w:tcW w:w="436"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49D4635D">
            <w:pPr>
              <w:keepNext/>
              <w:snapToGrid w:val="0"/>
              <w:jc w:val="center"/>
              <w:rPr>
                <w:rFonts w:hint="eastAsia" w:ascii="宋体" w:hAnsi="宋体" w:eastAsia="宋体" w:cs="宋体"/>
                <w:i w:val="0"/>
                <w:iCs w:val="0"/>
                <w:color w:val="000000"/>
                <w:sz w:val="18"/>
                <w:szCs w:val="18"/>
                <w:u w:val="none"/>
              </w:rPr>
            </w:pPr>
          </w:p>
        </w:tc>
        <w:tc>
          <w:tcPr>
            <w:tcW w:w="359" w:type="pct"/>
            <w:tcBorders>
              <w:top w:val="single" w:color="000000" w:sz="4" w:space="0"/>
              <w:left w:val="single" w:color="000000" w:sz="4" w:space="0"/>
              <w:bottom w:val="nil"/>
              <w:right w:val="single" w:color="000000" w:sz="4" w:space="0"/>
            </w:tcBorders>
            <w:shd w:val="clear" w:color="auto" w:fill="auto"/>
            <w:vAlign w:val="center"/>
          </w:tcPr>
          <w:p w14:paraId="60026A2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为居民提供自极服务</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1F8C292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6D4459E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085624E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37D715D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0D9AE5B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42C6284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2226EF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3ECA6920">
            <w:pPr>
              <w:keepNext/>
              <w:snapToGrid w:val="0"/>
              <w:jc w:val="center"/>
              <w:rPr>
                <w:rFonts w:hint="eastAsia" w:ascii="宋体" w:hAnsi="宋体" w:eastAsia="宋体" w:cs="宋体"/>
                <w:i w:val="0"/>
                <w:iCs w:val="0"/>
                <w:color w:val="000000"/>
                <w:sz w:val="18"/>
                <w:szCs w:val="18"/>
                <w:u w:val="none"/>
              </w:rPr>
            </w:pPr>
          </w:p>
        </w:tc>
      </w:tr>
      <w:tr w14:paraId="6CE76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7F5C2BDF">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6DA669A8">
            <w:pPr>
              <w:keepNext/>
              <w:snapToGrid w:val="0"/>
              <w:jc w:val="center"/>
              <w:rPr>
                <w:rFonts w:hint="eastAsia" w:ascii="宋体" w:hAnsi="宋体" w:eastAsia="宋体" w:cs="宋体"/>
                <w:i w:val="0"/>
                <w:iCs w:val="0"/>
                <w:color w:val="000000"/>
                <w:sz w:val="18"/>
                <w:szCs w:val="18"/>
                <w:u w:val="none"/>
              </w:rPr>
            </w:pPr>
          </w:p>
        </w:tc>
        <w:tc>
          <w:tcPr>
            <w:tcW w:w="436"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6A20BFD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359" w:type="pct"/>
            <w:tcBorders>
              <w:top w:val="single" w:color="000000" w:sz="4" w:space="0"/>
              <w:left w:val="single" w:color="000000" w:sz="4" w:space="0"/>
              <w:bottom w:val="nil"/>
              <w:right w:val="single" w:color="000000" w:sz="4" w:space="0"/>
            </w:tcBorders>
            <w:shd w:val="clear" w:color="auto" w:fill="auto"/>
            <w:vAlign w:val="center"/>
          </w:tcPr>
          <w:p w14:paraId="6D432A4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预算执行率</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316123D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2ACC404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0D59667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3384FAA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1C0CABD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495EA63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244A840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229B1932">
            <w:pPr>
              <w:keepNext/>
              <w:snapToGrid w:val="0"/>
              <w:jc w:val="center"/>
              <w:rPr>
                <w:rFonts w:hint="eastAsia" w:ascii="宋体" w:hAnsi="宋体" w:eastAsia="宋体" w:cs="宋体"/>
                <w:i w:val="0"/>
                <w:iCs w:val="0"/>
                <w:color w:val="000000"/>
                <w:sz w:val="18"/>
                <w:szCs w:val="18"/>
                <w:u w:val="none"/>
              </w:rPr>
            </w:pPr>
          </w:p>
        </w:tc>
      </w:tr>
      <w:tr w14:paraId="14D84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05A45F11">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27EDCBD7">
            <w:pPr>
              <w:keepNext/>
              <w:snapToGrid w:val="0"/>
              <w:jc w:val="center"/>
              <w:rPr>
                <w:rFonts w:hint="eastAsia" w:ascii="宋体" w:hAnsi="宋体" w:eastAsia="宋体" w:cs="宋体"/>
                <w:i w:val="0"/>
                <w:iCs w:val="0"/>
                <w:color w:val="000000"/>
                <w:sz w:val="18"/>
                <w:szCs w:val="18"/>
                <w:u w:val="none"/>
              </w:rPr>
            </w:pPr>
          </w:p>
        </w:tc>
        <w:tc>
          <w:tcPr>
            <w:tcW w:w="436"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26F51BE8">
            <w:pPr>
              <w:keepNext/>
              <w:snapToGrid w:val="0"/>
              <w:jc w:val="center"/>
              <w:rPr>
                <w:rFonts w:hint="eastAsia" w:ascii="宋体" w:hAnsi="宋体" w:eastAsia="宋体" w:cs="宋体"/>
                <w:i w:val="0"/>
                <w:iCs w:val="0"/>
                <w:color w:val="000000"/>
                <w:sz w:val="18"/>
                <w:szCs w:val="18"/>
                <w:u w:val="none"/>
              </w:rPr>
            </w:pPr>
          </w:p>
        </w:tc>
        <w:tc>
          <w:tcPr>
            <w:tcW w:w="359" w:type="pct"/>
            <w:tcBorders>
              <w:top w:val="single" w:color="000000" w:sz="4" w:space="0"/>
              <w:left w:val="single" w:color="000000" w:sz="4" w:space="0"/>
              <w:bottom w:val="nil"/>
              <w:right w:val="single" w:color="000000" w:sz="4" w:space="0"/>
            </w:tcBorders>
            <w:shd w:val="clear" w:color="auto" w:fill="auto"/>
            <w:vAlign w:val="center"/>
          </w:tcPr>
          <w:p w14:paraId="511ED9B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资金到位率</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0A00C38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770596D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0A4250F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2F9E358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2294163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339478A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4C14658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34870F3D">
            <w:pPr>
              <w:keepNext/>
              <w:snapToGrid w:val="0"/>
              <w:jc w:val="center"/>
              <w:rPr>
                <w:rFonts w:hint="eastAsia" w:ascii="宋体" w:hAnsi="宋体" w:eastAsia="宋体" w:cs="宋体"/>
                <w:i w:val="0"/>
                <w:iCs w:val="0"/>
                <w:color w:val="000000"/>
                <w:sz w:val="18"/>
                <w:szCs w:val="18"/>
                <w:u w:val="none"/>
              </w:rPr>
            </w:pPr>
          </w:p>
        </w:tc>
      </w:tr>
      <w:tr w14:paraId="38707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43B25316">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53664B4F">
            <w:pPr>
              <w:keepNext/>
              <w:snapToGrid w:val="0"/>
              <w:jc w:val="center"/>
              <w:rPr>
                <w:rFonts w:hint="eastAsia" w:ascii="宋体" w:hAnsi="宋体" w:eastAsia="宋体" w:cs="宋体"/>
                <w:i w:val="0"/>
                <w:iCs w:val="0"/>
                <w:color w:val="000000"/>
                <w:sz w:val="18"/>
                <w:szCs w:val="18"/>
                <w:u w:val="none"/>
              </w:rPr>
            </w:pPr>
          </w:p>
        </w:tc>
        <w:tc>
          <w:tcPr>
            <w:tcW w:w="436"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4DD2741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359" w:type="pct"/>
            <w:tcBorders>
              <w:top w:val="single" w:color="000000" w:sz="4" w:space="0"/>
              <w:left w:val="single" w:color="000000" w:sz="4" w:space="0"/>
              <w:bottom w:val="nil"/>
              <w:right w:val="single" w:color="000000" w:sz="4" w:space="0"/>
            </w:tcBorders>
            <w:shd w:val="clear" w:color="auto" w:fill="auto"/>
            <w:vAlign w:val="center"/>
          </w:tcPr>
          <w:p w14:paraId="6174281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总成本</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4F24BF0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7E84F35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222695C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7FD62F3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46D717D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533DE5D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49016E1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6996E5D0">
            <w:pPr>
              <w:keepNext/>
              <w:snapToGrid w:val="0"/>
              <w:jc w:val="center"/>
              <w:rPr>
                <w:rFonts w:hint="eastAsia" w:ascii="宋体" w:hAnsi="宋体" w:eastAsia="宋体" w:cs="宋体"/>
                <w:i w:val="0"/>
                <w:iCs w:val="0"/>
                <w:color w:val="000000"/>
                <w:sz w:val="18"/>
                <w:szCs w:val="18"/>
                <w:u w:val="none"/>
              </w:rPr>
            </w:pPr>
          </w:p>
        </w:tc>
      </w:tr>
      <w:tr w14:paraId="49C7A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051B998F">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6C5DC740">
            <w:pPr>
              <w:keepNext/>
              <w:snapToGrid w:val="0"/>
              <w:jc w:val="center"/>
              <w:rPr>
                <w:rFonts w:hint="eastAsia" w:ascii="宋体" w:hAnsi="宋体" w:eastAsia="宋体" w:cs="宋体"/>
                <w:i w:val="0"/>
                <w:iCs w:val="0"/>
                <w:color w:val="000000"/>
                <w:sz w:val="18"/>
                <w:szCs w:val="18"/>
                <w:u w:val="none"/>
              </w:rPr>
            </w:pPr>
          </w:p>
        </w:tc>
        <w:tc>
          <w:tcPr>
            <w:tcW w:w="436"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57BA23CD">
            <w:pPr>
              <w:keepNext/>
              <w:snapToGrid w:val="0"/>
              <w:jc w:val="center"/>
              <w:rPr>
                <w:rFonts w:hint="eastAsia" w:ascii="宋体" w:hAnsi="宋体" w:eastAsia="宋体" w:cs="宋体"/>
                <w:i w:val="0"/>
                <w:iCs w:val="0"/>
                <w:color w:val="000000"/>
                <w:sz w:val="18"/>
                <w:szCs w:val="18"/>
                <w:u w:val="none"/>
              </w:rPr>
            </w:pPr>
          </w:p>
        </w:tc>
        <w:tc>
          <w:tcPr>
            <w:tcW w:w="359" w:type="pct"/>
            <w:tcBorders>
              <w:top w:val="single" w:color="000000" w:sz="4" w:space="0"/>
              <w:left w:val="single" w:color="000000" w:sz="4" w:space="0"/>
              <w:bottom w:val="nil"/>
              <w:right w:val="single" w:color="000000" w:sz="4" w:space="0"/>
            </w:tcBorders>
            <w:shd w:val="clear" w:color="auto" w:fill="auto"/>
            <w:vAlign w:val="center"/>
          </w:tcPr>
          <w:p w14:paraId="21126D0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项目金额</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29D8EC7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1F5C7C2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6026EE3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07BA8B1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467D6B8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76EC556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6AA498E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7002C5E9">
            <w:pPr>
              <w:keepNext/>
              <w:snapToGrid w:val="0"/>
              <w:jc w:val="center"/>
              <w:rPr>
                <w:rFonts w:hint="eastAsia" w:ascii="宋体" w:hAnsi="宋体" w:eastAsia="宋体" w:cs="宋体"/>
                <w:i w:val="0"/>
                <w:iCs w:val="0"/>
                <w:color w:val="000000"/>
                <w:sz w:val="18"/>
                <w:szCs w:val="18"/>
                <w:u w:val="none"/>
              </w:rPr>
            </w:pPr>
          </w:p>
        </w:tc>
      </w:tr>
      <w:tr w14:paraId="05008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1B74A1DD">
            <w:pPr>
              <w:keepNext/>
              <w:snapToGrid w:val="0"/>
              <w:jc w:val="center"/>
              <w:rPr>
                <w:rFonts w:hint="eastAsia" w:ascii="宋体" w:hAnsi="宋体" w:eastAsia="宋体" w:cs="宋体"/>
                <w:i w:val="0"/>
                <w:iCs w:val="0"/>
                <w:color w:val="000000"/>
                <w:sz w:val="18"/>
                <w:szCs w:val="18"/>
                <w:u w:val="none"/>
              </w:rPr>
            </w:pPr>
          </w:p>
        </w:tc>
        <w:tc>
          <w:tcPr>
            <w:tcW w:w="219" w:type="pct"/>
            <w:gridSpan w:val="2"/>
            <w:vMerge w:val="restart"/>
            <w:tcBorders>
              <w:top w:val="single" w:color="000000" w:sz="4" w:space="0"/>
              <w:left w:val="single" w:color="000000" w:sz="4" w:space="0"/>
              <w:bottom w:val="nil"/>
              <w:right w:val="single" w:color="000000" w:sz="4" w:space="0"/>
            </w:tcBorders>
            <w:shd w:val="clear" w:color="auto" w:fill="auto"/>
            <w:vAlign w:val="center"/>
          </w:tcPr>
          <w:p w14:paraId="38323F8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36" w:type="pct"/>
            <w:gridSpan w:val="2"/>
            <w:tcBorders>
              <w:top w:val="single" w:color="000000" w:sz="4" w:space="0"/>
              <w:left w:val="single" w:color="000000" w:sz="4" w:space="0"/>
              <w:bottom w:val="nil"/>
              <w:right w:val="single" w:color="000000" w:sz="4" w:space="0"/>
            </w:tcBorders>
            <w:shd w:val="clear" w:color="auto" w:fill="auto"/>
            <w:vAlign w:val="center"/>
          </w:tcPr>
          <w:p w14:paraId="676B836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359" w:type="pct"/>
            <w:tcBorders>
              <w:top w:val="single" w:color="000000" w:sz="4" w:space="0"/>
              <w:left w:val="single" w:color="000000" w:sz="4" w:space="0"/>
              <w:bottom w:val="nil"/>
              <w:right w:val="single" w:color="000000" w:sz="4" w:space="0"/>
            </w:tcBorders>
            <w:shd w:val="clear" w:color="auto" w:fill="auto"/>
            <w:vAlign w:val="center"/>
          </w:tcPr>
          <w:p w14:paraId="45568C5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及时发现健康问题</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4120590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323819DF">
            <w:pPr>
              <w:keepNext/>
              <w:snapToGrid w:val="0"/>
              <w:jc w:val="center"/>
              <w:rPr>
                <w:rFonts w:hint="eastAsia" w:ascii="宋体" w:hAnsi="宋体" w:eastAsia="宋体" w:cs="宋体"/>
                <w:i w:val="0"/>
                <w:iCs w:val="0"/>
                <w:color w:val="000000"/>
                <w:sz w:val="18"/>
                <w:szCs w:val="18"/>
                <w:u w:val="none"/>
              </w:rPr>
            </w:pP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59F785D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及时发现</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0AADE49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459F6AA9">
            <w:pPr>
              <w:keepNext/>
              <w:snapToGrid w:val="0"/>
              <w:jc w:val="center"/>
              <w:rPr>
                <w:rFonts w:hint="eastAsia" w:ascii="宋体" w:hAnsi="宋体" w:eastAsia="宋体" w:cs="宋体"/>
                <w:i w:val="0"/>
                <w:iCs w:val="0"/>
                <w:color w:val="000000"/>
                <w:sz w:val="18"/>
                <w:szCs w:val="18"/>
                <w:u w:val="none"/>
              </w:rPr>
            </w:pP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62CE7A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12A5B2B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68960A48">
            <w:pPr>
              <w:keepNext/>
              <w:snapToGrid w:val="0"/>
              <w:jc w:val="center"/>
              <w:rPr>
                <w:rFonts w:hint="eastAsia" w:ascii="宋体" w:hAnsi="宋体" w:eastAsia="宋体" w:cs="宋体"/>
                <w:i w:val="0"/>
                <w:iCs w:val="0"/>
                <w:color w:val="000000"/>
                <w:sz w:val="18"/>
                <w:szCs w:val="18"/>
                <w:u w:val="none"/>
              </w:rPr>
            </w:pPr>
          </w:p>
        </w:tc>
      </w:tr>
      <w:tr w14:paraId="5F13A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3F4FC71E">
            <w:pPr>
              <w:keepNext/>
              <w:snapToGrid w:val="0"/>
              <w:jc w:val="center"/>
              <w:rPr>
                <w:rFonts w:hint="eastAsia" w:ascii="宋体" w:hAnsi="宋体" w:eastAsia="宋体" w:cs="宋体"/>
                <w:i w:val="0"/>
                <w:iCs w:val="0"/>
                <w:color w:val="000000"/>
                <w:sz w:val="18"/>
                <w:szCs w:val="18"/>
                <w:u w:val="none"/>
              </w:rPr>
            </w:pPr>
          </w:p>
        </w:tc>
        <w:tc>
          <w:tcPr>
            <w:tcW w:w="219"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2027C13E">
            <w:pPr>
              <w:keepNext/>
              <w:snapToGrid w:val="0"/>
              <w:jc w:val="center"/>
              <w:rPr>
                <w:rFonts w:hint="eastAsia" w:ascii="宋体" w:hAnsi="宋体" w:eastAsia="宋体" w:cs="宋体"/>
                <w:i w:val="0"/>
                <w:iCs w:val="0"/>
                <w:color w:val="000000"/>
                <w:sz w:val="18"/>
                <w:szCs w:val="18"/>
                <w:u w:val="none"/>
              </w:rPr>
            </w:pPr>
          </w:p>
        </w:tc>
        <w:tc>
          <w:tcPr>
            <w:tcW w:w="436" w:type="pct"/>
            <w:gridSpan w:val="2"/>
            <w:tcBorders>
              <w:top w:val="single" w:color="000000" w:sz="4" w:space="0"/>
              <w:left w:val="single" w:color="000000" w:sz="4" w:space="0"/>
              <w:bottom w:val="nil"/>
              <w:right w:val="single" w:color="000000" w:sz="4" w:space="0"/>
            </w:tcBorders>
            <w:shd w:val="clear" w:color="auto" w:fill="auto"/>
            <w:vAlign w:val="center"/>
          </w:tcPr>
          <w:p w14:paraId="3EF0699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359" w:type="pct"/>
            <w:tcBorders>
              <w:top w:val="single" w:color="000000" w:sz="4" w:space="0"/>
              <w:left w:val="single" w:color="000000" w:sz="4" w:space="0"/>
              <w:bottom w:val="nil"/>
              <w:right w:val="single" w:color="000000" w:sz="4" w:space="0"/>
            </w:tcBorders>
            <w:shd w:val="clear" w:color="auto" w:fill="auto"/>
            <w:vAlign w:val="center"/>
          </w:tcPr>
          <w:p w14:paraId="5250FB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保障居民健康</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7E4B9DE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59E388CB">
            <w:pPr>
              <w:keepNext/>
              <w:snapToGrid w:val="0"/>
              <w:jc w:val="center"/>
              <w:rPr>
                <w:rFonts w:hint="eastAsia" w:ascii="宋体" w:hAnsi="宋体" w:eastAsia="宋体" w:cs="宋体"/>
                <w:i w:val="0"/>
                <w:iCs w:val="0"/>
                <w:color w:val="000000"/>
                <w:sz w:val="18"/>
                <w:szCs w:val="18"/>
                <w:u w:val="none"/>
              </w:rPr>
            </w:pP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35D3596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保障健康</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3012AD4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77ADF0BB">
            <w:pPr>
              <w:keepNext/>
              <w:snapToGrid w:val="0"/>
              <w:jc w:val="center"/>
              <w:rPr>
                <w:rFonts w:hint="eastAsia" w:ascii="宋体" w:hAnsi="宋体" w:eastAsia="宋体" w:cs="宋体"/>
                <w:i w:val="0"/>
                <w:iCs w:val="0"/>
                <w:color w:val="000000"/>
                <w:sz w:val="18"/>
                <w:szCs w:val="18"/>
                <w:u w:val="none"/>
              </w:rPr>
            </w:pP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55151D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218B787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62C6D633">
            <w:pPr>
              <w:keepNext/>
              <w:snapToGrid w:val="0"/>
              <w:jc w:val="center"/>
              <w:rPr>
                <w:rFonts w:hint="eastAsia" w:ascii="宋体" w:hAnsi="宋体" w:eastAsia="宋体" w:cs="宋体"/>
                <w:i w:val="0"/>
                <w:iCs w:val="0"/>
                <w:color w:val="000000"/>
                <w:sz w:val="18"/>
                <w:szCs w:val="18"/>
                <w:u w:val="none"/>
              </w:rPr>
            </w:pPr>
          </w:p>
        </w:tc>
      </w:tr>
      <w:tr w14:paraId="427B7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2" w:type="pct"/>
            <w:gridSpan w:val="2"/>
            <w:vMerge w:val="continue"/>
            <w:tcBorders>
              <w:top w:val="single" w:color="000000" w:sz="4" w:space="0"/>
              <w:left w:val="single" w:color="000000" w:sz="4" w:space="0"/>
              <w:bottom w:val="nil"/>
              <w:right w:val="single" w:color="000000" w:sz="4" w:space="0"/>
            </w:tcBorders>
            <w:shd w:val="clear" w:color="auto" w:fill="auto"/>
            <w:vAlign w:val="center"/>
          </w:tcPr>
          <w:p w14:paraId="4F23146A">
            <w:pPr>
              <w:keepNext/>
              <w:snapToGrid w:val="0"/>
              <w:jc w:val="center"/>
              <w:rPr>
                <w:rFonts w:hint="eastAsia" w:ascii="宋体" w:hAnsi="宋体" w:eastAsia="宋体" w:cs="宋体"/>
                <w:i w:val="0"/>
                <w:iCs w:val="0"/>
                <w:color w:val="000000"/>
                <w:sz w:val="18"/>
                <w:szCs w:val="18"/>
                <w:u w:val="none"/>
              </w:rPr>
            </w:pPr>
          </w:p>
        </w:tc>
        <w:tc>
          <w:tcPr>
            <w:tcW w:w="219" w:type="pct"/>
            <w:gridSpan w:val="2"/>
            <w:tcBorders>
              <w:top w:val="single" w:color="000000" w:sz="4" w:space="0"/>
              <w:left w:val="single" w:color="000000" w:sz="4" w:space="0"/>
              <w:bottom w:val="nil"/>
              <w:right w:val="single" w:color="000000" w:sz="4" w:space="0"/>
            </w:tcBorders>
            <w:shd w:val="clear" w:color="auto" w:fill="auto"/>
            <w:vAlign w:val="center"/>
          </w:tcPr>
          <w:p w14:paraId="7F44B5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36" w:type="pct"/>
            <w:gridSpan w:val="2"/>
            <w:tcBorders>
              <w:top w:val="single" w:color="000000" w:sz="4" w:space="0"/>
              <w:left w:val="single" w:color="000000" w:sz="4" w:space="0"/>
              <w:bottom w:val="nil"/>
              <w:right w:val="single" w:color="000000" w:sz="4" w:space="0"/>
            </w:tcBorders>
            <w:shd w:val="clear" w:color="auto" w:fill="auto"/>
            <w:vAlign w:val="center"/>
          </w:tcPr>
          <w:p w14:paraId="5825C94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359" w:type="pct"/>
            <w:tcBorders>
              <w:top w:val="single" w:color="000000" w:sz="4" w:space="0"/>
              <w:left w:val="single" w:color="000000" w:sz="4" w:space="0"/>
              <w:bottom w:val="nil"/>
              <w:right w:val="single" w:color="000000" w:sz="4" w:space="0"/>
            </w:tcBorders>
            <w:shd w:val="clear" w:color="auto" w:fill="auto"/>
            <w:vAlign w:val="center"/>
          </w:tcPr>
          <w:p w14:paraId="5726ADB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为居民提供自检服务</w:t>
            </w:r>
          </w:p>
        </w:tc>
        <w:tc>
          <w:tcPr>
            <w:tcW w:w="242" w:type="pct"/>
            <w:gridSpan w:val="2"/>
            <w:tcBorders>
              <w:top w:val="single" w:color="000000" w:sz="4" w:space="0"/>
              <w:left w:val="single" w:color="000000" w:sz="4" w:space="0"/>
              <w:bottom w:val="nil"/>
              <w:right w:val="single" w:color="000000" w:sz="4" w:space="0"/>
            </w:tcBorders>
            <w:shd w:val="clear" w:color="auto" w:fill="auto"/>
            <w:vAlign w:val="center"/>
          </w:tcPr>
          <w:p w14:paraId="7402A28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gridSpan w:val="2"/>
            <w:tcBorders>
              <w:top w:val="single" w:color="000000" w:sz="4" w:space="0"/>
              <w:left w:val="single" w:color="000000" w:sz="4" w:space="0"/>
              <w:bottom w:val="nil"/>
              <w:right w:val="single" w:color="000000" w:sz="4" w:space="0"/>
            </w:tcBorders>
            <w:shd w:val="clear" w:color="auto" w:fill="auto"/>
            <w:vAlign w:val="center"/>
          </w:tcPr>
          <w:p w14:paraId="39E7F21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gridSpan w:val="2"/>
            <w:tcBorders>
              <w:top w:val="single" w:color="000000" w:sz="4" w:space="0"/>
              <w:left w:val="single" w:color="000000" w:sz="4" w:space="0"/>
              <w:bottom w:val="nil"/>
              <w:right w:val="single" w:color="000000" w:sz="4" w:space="0"/>
            </w:tcBorders>
            <w:shd w:val="clear" w:color="auto" w:fill="auto"/>
            <w:vAlign w:val="center"/>
          </w:tcPr>
          <w:p w14:paraId="6709E94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28" w:type="pct"/>
            <w:gridSpan w:val="2"/>
            <w:tcBorders>
              <w:top w:val="single" w:color="000000" w:sz="4" w:space="0"/>
              <w:left w:val="single" w:color="000000" w:sz="4" w:space="0"/>
              <w:bottom w:val="nil"/>
              <w:right w:val="single" w:color="000000" w:sz="4" w:space="0"/>
            </w:tcBorders>
            <w:shd w:val="clear" w:color="auto" w:fill="auto"/>
            <w:vAlign w:val="center"/>
          </w:tcPr>
          <w:p w14:paraId="59E9381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85.00</w:t>
            </w:r>
          </w:p>
        </w:tc>
        <w:tc>
          <w:tcPr>
            <w:tcW w:w="509" w:type="pct"/>
            <w:gridSpan w:val="2"/>
            <w:tcBorders>
              <w:top w:val="single" w:color="000000" w:sz="4" w:space="0"/>
              <w:left w:val="single" w:color="000000" w:sz="4" w:space="0"/>
              <w:bottom w:val="nil"/>
              <w:right w:val="single" w:color="000000" w:sz="4" w:space="0"/>
            </w:tcBorders>
            <w:shd w:val="clear" w:color="auto" w:fill="auto"/>
            <w:vAlign w:val="center"/>
          </w:tcPr>
          <w:p w14:paraId="4E755F4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1" w:type="pct"/>
            <w:gridSpan w:val="2"/>
            <w:tcBorders>
              <w:top w:val="single" w:color="000000" w:sz="4" w:space="0"/>
              <w:left w:val="single" w:color="000000" w:sz="4" w:space="0"/>
              <w:bottom w:val="nil"/>
              <w:right w:val="single" w:color="000000" w:sz="4" w:space="0"/>
            </w:tcBorders>
            <w:shd w:val="clear" w:color="auto" w:fill="auto"/>
            <w:vAlign w:val="center"/>
          </w:tcPr>
          <w:p w14:paraId="597743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11" w:type="pct"/>
            <w:gridSpan w:val="2"/>
            <w:tcBorders>
              <w:top w:val="single" w:color="000000" w:sz="4" w:space="0"/>
              <w:left w:val="single" w:color="000000" w:sz="4" w:space="0"/>
              <w:bottom w:val="nil"/>
              <w:right w:val="single" w:color="000000" w:sz="4" w:space="0"/>
            </w:tcBorders>
            <w:shd w:val="clear" w:color="auto" w:fill="auto"/>
            <w:vAlign w:val="center"/>
          </w:tcPr>
          <w:p w14:paraId="46782CE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7" w:type="pct"/>
            <w:gridSpan w:val="2"/>
            <w:tcBorders>
              <w:top w:val="single" w:color="000000" w:sz="4" w:space="0"/>
              <w:left w:val="single" w:color="000000" w:sz="4" w:space="0"/>
              <w:bottom w:val="nil"/>
              <w:right w:val="single" w:color="000000" w:sz="4" w:space="0"/>
            </w:tcBorders>
            <w:shd w:val="clear" w:color="auto" w:fill="auto"/>
            <w:vAlign w:val="center"/>
          </w:tcPr>
          <w:p w14:paraId="78BC364F">
            <w:pPr>
              <w:keepNext/>
              <w:snapToGrid w:val="0"/>
              <w:jc w:val="center"/>
              <w:rPr>
                <w:rFonts w:hint="eastAsia" w:ascii="宋体" w:hAnsi="宋体" w:eastAsia="宋体" w:cs="宋体"/>
                <w:i w:val="0"/>
                <w:iCs w:val="0"/>
                <w:color w:val="000000"/>
                <w:sz w:val="18"/>
                <w:szCs w:val="18"/>
                <w:u w:val="none"/>
              </w:rPr>
            </w:pPr>
          </w:p>
        </w:tc>
      </w:tr>
      <w:tr w14:paraId="1370B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229" w:type="pct"/>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E5AC33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BBB39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503A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EC7CD">
            <w:pPr>
              <w:keepNext/>
              <w:snapToGrid w:val="0"/>
              <w:jc w:val="center"/>
              <w:rPr>
                <w:rFonts w:hint="eastAsia" w:ascii="宋体" w:hAnsi="宋体" w:eastAsia="宋体" w:cs="宋体"/>
                <w:i w:val="0"/>
                <w:iCs w:val="0"/>
                <w:color w:val="000000"/>
                <w:sz w:val="18"/>
                <w:szCs w:val="18"/>
                <w:u w:val="none"/>
              </w:rPr>
            </w:pPr>
          </w:p>
        </w:tc>
      </w:tr>
    </w:tbl>
    <w:p w14:paraId="3B1ACDC2">
      <w:pPr>
        <w:widowControl/>
        <w:spacing w:before="240" w:after="240"/>
        <w:jc w:val="left"/>
        <w:rPr>
          <w:rFonts w:ascii="kai_ti_gb2312" w:hAnsi="kai_ti_gb2312" w:eastAsia="kai_ti_gb2312" w:cs="kai_ti_gb2312"/>
          <w:b/>
          <w:bCs/>
          <w:kern w:val="0"/>
          <w:sz w:val="27"/>
          <w:szCs w:val="27"/>
        </w:rPr>
      </w:pPr>
      <w:r>
        <w:rPr>
          <w:rFonts w:ascii="kai_ti_gb2312" w:hAnsi="kai_ti_gb2312" w:eastAsia="kai_ti_gb2312" w:cs="kai_ti_gb2312"/>
          <w:b/>
          <w:bCs/>
          <w:kern w:val="0"/>
          <w:sz w:val="27"/>
          <w:szCs w:val="27"/>
        </w:rPr>
        <w:t xml:space="preserve">    </w:t>
      </w:r>
    </w:p>
    <w:tbl>
      <w:tblPr>
        <w:tblStyle w:val="1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428"/>
        <w:gridCol w:w="474"/>
        <w:gridCol w:w="898"/>
        <w:gridCol w:w="1234"/>
        <w:gridCol w:w="489"/>
        <w:gridCol w:w="497"/>
        <w:gridCol w:w="758"/>
        <w:gridCol w:w="1222"/>
        <w:gridCol w:w="866"/>
        <w:gridCol w:w="572"/>
        <w:gridCol w:w="890"/>
        <w:gridCol w:w="1540"/>
      </w:tblGrid>
      <w:tr w14:paraId="696DA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60353D2">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26FA2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FC7817">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54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4D68766">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新冠疫情人员补助经费</w:t>
            </w:r>
          </w:p>
        </w:tc>
      </w:tr>
      <w:tr w14:paraId="11A80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272567">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5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AE0C3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CC89C">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9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6B5EC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1306C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4253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F3D53">
            <w:pPr>
              <w:snapToGrid w:val="0"/>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DC6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8BF3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416D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CA2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C51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868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D5C9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79740">
            <w:pPr>
              <w:snapToGrid w:val="0"/>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826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B66F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2B4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25F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626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B190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671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255E5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592D2">
            <w:pPr>
              <w:snapToGrid w:val="0"/>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0E518">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736DD">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EAC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EA8F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C1D1C">
            <w:pPr>
              <w:keepNext w:val="0"/>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24B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DBCA4">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1722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89B97">
            <w:pPr>
              <w:snapToGrid w:val="0"/>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B18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44B3B">
            <w:pPr>
              <w:snapToGrid w:val="0"/>
              <w:rPr>
                <w:rFonts w:hint="eastAsia" w:ascii="宋体" w:hAnsi="宋体" w:eastAsia="宋体" w:cs="宋体"/>
                <w:i w:val="0"/>
                <w:iCs w:val="0"/>
                <w:color w:val="000000"/>
                <w:sz w:val="18"/>
                <w:szCs w:val="18"/>
                <w:u w:val="none"/>
              </w:rPr>
            </w:pP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A3C0D4">
            <w:pPr>
              <w:snapToGrid w:val="0"/>
              <w:jc w:val="center"/>
              <w:rPr>
                <w:rFonts w:hint="eastAsia" w:ascii="宋体" w:hAnsi="宋体" w:eastAsia="宋体" w:cs="宋体"/>
                <w:i w:val="0"/>
                <w:iCs w:val="0"/>
                <w:color w:val="000000"/>
                <w:sz w:val="18"/>
                <w:szCs w:val="18"/>
                <w:u w:val="none"/>
              </w:rPr>
            </w:pP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882C58">
            <w:pPr>
              <w:snapToGrid w:val="0"/>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58A8E">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8A025F">
            <w:pPr>
              <w:snapToGrid w:val="0"/>
              <w:jc w:val="center"/>
              <w:rPr>
                <w:rFonts w:hint="eastAsia" w:ascii="宋体" w:hAnsi="宋体" w:eastAsia="宋体" w:cs="宋体"/>
                <w:i w:val="0"/>
                <w:iCs w:val="0"/>
                <w:color w:val="000000"/>
                <w:sz w:val="18"/>
                <w:szCs w:val="18"/>
                <w:u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3CEBC">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8A87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52734">
            <w:pPr>
              <w:snapToGrid w:val="0"/>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EB2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45C5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205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E6D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FC71C">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606B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A9F0C">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CF6F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AE26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96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E8DC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57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5B97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56BE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BB092">
            <w:pPr>
              <w:snapToGrid w:val="0"/>
              <w:jc w:val="center"/>
              <w:rPr>
                <w:rFonts w:hint="eastAsia" w:ascii="宋体" w:hAnsi="宋体" w:eastAsia="宋体" w:cs="宋体"/>
                <w:i w:val="0"/>
                <w:iCs w:val="0"/>
                <w:color w:val="000000"/>
                <w:sz w:val="18"/>
                <w:szCs w:val="18"/>
                <w:u w:val="none"/>
              </w:rPr>
            </w:pPr>
          </w:p>
        </w:tc>
        <w:tc>
          <w:tcPr>
            <w:tcW w:w="196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3182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1.完成支援呼和浩特新冠病毒采样管的检验工作 2.完成新冠病毒采样管阳性管查找复检3.完成气膜实验室医疗废弃物的装袋处理</w:t>
            </w:r>
          </w:p>
        </w:tc>
        <w:tc>
          <w:tcPr>
            <w:tcW w:w="257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13E91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1.完成支援呼和浩特新冠病毒采样管的检验工作 2.完成新冠病毒采样管阳性管查找复检3.完成气膜实验室医疗废弃物的装袋处理。用于支付医务人员补助</w:t>
            </w:r>
          </w:p>
        </w:tc>
      </w:tr>
      <w:tr w14:paraId="4E532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8E6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431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2FA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8F9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F5D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37A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CE2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32D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5C6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C07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EEE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1E6C5">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35F9A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restart"/>
            <w:tcBorders>
              <w:top w:val="single" w:color="000000" w:sz="4" w:space="0"/>
              <w:left w:val="single" w:color="000000" w:sz="4" w:space="0"/>
              <w:bottom w:val="nil"/>
              <w:right w:val="single" w:color="000000" w:sz="4" w:space="0"/>
            </w:tcBorders>
            <w:shd w:val="clear" w:color="auto" w:fill="auto"/>
            <w:vAlign w:val="center"/>
          </w:tcPr>
          <w:p w14:paraId="52BACA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39" w:type="pct"/>
            <w:vMerge w:val="restart"/>
            <w:tcBorders>
              <w:top w:val="single" w:color="000000" w:sz="4" w:space="0"/>
              <w:left w:val="single" w:color="000000" w:sz="4" w:space="0"/>
              <w:bottom w:val="nil"/>
              <w:right w:val="single" w:color="000000" w:sz="4" w:space="0"/>
            </w:tcBorders>
            <w:shd w:val="clear" w:color="auto" w:fill="auto"/>
            <w:vAlign w:val="center"/>
          </w:tcPr>
          <w:p w14:paraId="5E9152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2DAE8C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1676D4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新冠病毒核酸筛查管数</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1782FA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44AC36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67D9C5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4AADF1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3B3FC6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3ECE9C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46EBBC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5A2513C1">
            <w:pPr>
              <w:snapToGrid w:val="0"/>
              <w:jc w:val="center"/>
              <w:rPr>
                <w:rFonts w:hint="eastAsia" w:ascii="宋体" w:hAnsi="宋体" w:eastAsia="宋体" w:cs="宋体"/>
                <w:i w:val="0"/>
                <w:iCs w:val="0"/>
                <w:color w:val="000000"/>
                <w:sz w:val="18"/>
                <w:szCs w:val="18"/>
                <w:u w:val="none"/>
              </w:rPr>
            </w:pPr>
          </w:p>
        </w:tc>
      </w:tr>
      <w:tr w14:paraId="3E152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07FE2ADC">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2E81B4B8">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22501A06">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32904A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新冠病毒核酸筛查阳性管数</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6D7D77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43DD11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1D1C3E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398A2B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79422D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670A63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41FC28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2DA38D8">
            <w:pPr>
              <w:snapToGrid w:val="0"/>
              <w:jc w:val="center"/>
              <w:rPr>
                <w:rFonts w:hint="eastAsia" w:ascii="宋体" w:hAnsi="宋体" w:eastAsia="宋体" w:cs="宋体"/>
                <w:i w:val="0"/>
                <w:iCs w:val="0"/>
                <w:color w:val="000000"/>
                <w:sz w:val="18"/>
                <w:szCs w:val="18"/>
                <w:u w:val="none"/>
              </w:rPr>
            </w:pPr>
          </w:p>
        </w:tc>
      </w:tr>
      <w:tr w14:paraId="059A1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248D0761">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21C8A32F">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6BBD9CA2">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2C5B7E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新冠病毒核酸阳性结果复查管数</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573C9E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65ED0B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406C87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2BAF9E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1E741A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7F0FCD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659839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843A3E2">
            <w:pPr>
              <w:snapToGrid w:val="0"/>
              <w:jc w:val="center"/>
              <w:rPr>
                <w:rFonts w:hint="eastAsia" w:ascii="宋体" w:hAnsi="宋体" w:eastAsia="宋体" w:cs="宋体"/>
                <w:i w:val="0"/>
                <w:iCs w:val="0"/>
                <w:color w:val="000000"/>
                <w:sz w:val="18"/>
                <w:szCs w:val="18"/>
                <w:u w:val="none"/>
              </w:rPr>
            </w:pPr>
          </w:p>
        </w:tc>
      </w:tr>
      <w:tr w14:paraId="5D67F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00C2DC26">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3A73D551">
            <w:pPr>
              <w:snapToGrid w:val="0"/>
              <w:jc w:val="center"/>
              <w:rPr>
                <w:rFonts w:hint="eastAsia" w:ascii="宋体" w:hAnsi="宋体" w:eastAsia="宋体" w:cs="宋体"/>
                <w:i w:val="0"/>
                <w:iCs w:val="0"/>
                <w:color w:val="000000"/>
                <w:sz w:val="18"/>
                <w:szCs w:val="18"/>
                <w:u w:val="none"/>
              </w:rPr>
            </w:pP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6D70AD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32BB9D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核酸筛查结果正确率</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24C5D4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289181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2A7660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5A8DA1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0BCD8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百分比</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48CB9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5F2D60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9FBC7AA">
            <w:pPr>
              <w:snapToGrid w:val="0"/>
              <w:jc w:val="center"/>
              <w:rPr>
                <w:rFonts w:hint="eastAsia" w:ascii="宋体" w:hAnsi="宋体" w:eastAsia="宋体" w:cs="宋体"/>
                <w:i w:val="0"/>
                <w:iCs w:val="0"/>
                <w:color w:val="000000"/>
                <w:sz w:val="18"/>
                <w:szCs w:val="18"/>
                <w:u w:val="none"/>
              </w:rPr>
            </w:pPr>
          </w:p>
        </w:tc>
      </w:tr>
      <w:tr w14:paraId="13218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065920AF">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2D5B6103">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3C00D618">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77C9549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核酸阳性结果复查正确率</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78A606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018F28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27B51F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52936B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19E71C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百分比</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71D0E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775C61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35F89689">
            <w:pPr>
              <w:snapToGrid w:val="0"/>
              <w:jc w:val="center"/>
              <w:rPr>
                <w:rFonts w:hint="eastAsia" w:ascii="宋体" w:hAnsi="宋体" w:eastAsia="宋体" w:cs="宋体"/>
                <w:i w:val="0"/>
                <w:iCs w:val="0"/>
                <w:color w:val="000000"/>
                <w:sz w:val="18"/>
                <w:szCs w:val="18"/>
                <w:u w:val="none"/>
              </w:rPr>
            </w:pPr>
          </w:p>
        </w:tc>
      </w:tr>
      <w:tr w14:paraId="7399D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572660F0">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12ECFA5E">
            <w:pPr>
              <w:snapToGrid w:val="0"/>
              <w:jc w:val="center"/>
              <w:rPr>
                <w:rFonts w:hint="eastAsia" w:ascii="宋体" w:hAnsi="宋体" w:eastAsia="宋体" w:cs="宋体"/>
                <w:i w:val="0"/>
                <w:iCs w:val="0"/>
                <w:color w:val="000000"/>
                <w:sz w:val="18"/>
                <w:szCs w:val="18"/>
                <w:u w:val="none"/>
              </w:rPr>
            </w:pP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4AF442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2AA3D5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核酸筛查结果</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47AEC3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2C1B31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1DE462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56EB31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4EB6D9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小时</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7CF3B5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14EF6B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EC142AA">
            <w:pPr>
              <w:snapToGrid w:val="0"/>
              <w:jc w:val="center"/>
              <w:rPr>
                <w:rFonts w:hint="eastAsia" w:ascii="宋体" w:hAnsi="宋体" w:eastAsia="宋体" w:cs="宋体"/>
                <w:i w:val="0"/>
                <w:iCs w:val="0"/>
                <w:color w:val="000000"/>
                <w:sz w:val="18"/>
                <w:szCs w:val="18"/>
                <w:u w:val="none"/>
              </w:rPr>
            </w:pPr>
          </w:p>
        </w:tc>
      </w:tr>
      <w:tr w14:paraId="464DA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7692CE6D">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2B00E703">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4DFFC33F">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5BF383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核算筛查考勤</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704B02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0CFC8F9D">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2C977D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全勤</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77D6B2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全勤</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0388D9E7">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19DB0A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3FB995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2055E218">
            <w:pPr>
              <w:snapToGrid w:val="0"/>
              <w:jc w:val="center"/>
              <w:rPr>
                <w:rFonts w:hint="eastAsia" w:ascii="宋体" w:hAnsi="宋体" w:eastAsia="宋体" w:cs="宋体"/>
                <w:i w:val="0"/>
                <w:iCs w:val="0"/>
                <w:color w:val="000000"/>
                <w:sz w:val="18"/>
                <w:szCs w:val="18"/>
                <w:u w:val="none"/>
              </w:rPr>
            </w:pPr>
          </w:p>
        </w:tc>
      </w:tr>
      <w:tr w14:paraId="6D511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25FC3C1A">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544BCF78">
            <w:pPr>
              <w:snapToGrid w:val="0"/>
              <w:jc w:val="center"/>
              <w:rPr>
                <w:rFonts w:hint="eastAsia" w:ascii="宋体" w:hAnsi="宋体" w:eastAsia="宋体" w:cs="宋体"/>
                <w:i w:val="0"/>
                <w:iCs w:val="0"/>
                <w:color w:val="000000"/>
                <w:sz w:val="18"/>
                <w:szCs w:val="18"/>
                <w:u w:val="none"/>
              </w:rPr>
            </w:pP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23A0AB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4D42E2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支援呼市疫情医护人员临时性补助</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407A3C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4E8C86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3C936C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2E5C52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E354D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39E836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58C9B3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349D96B0">
            <w:pPr>
              <w:snapToGrid w:val="0"/>
              <w:jc w:val="center"/>
              <w:rPr>
                <w:rFonts w:hint="eastAsia" w:ascii="宋体" w:hAnsi="宋体" w:eastAsia="宋体" w:cs="宋体"/>
                <w:i w:val="0"/>
                <w:iCs w:val="0"/>
                <w:color w:val="000000"/>
                <w:sz w:val="18"/>
                <w:szCs w:val="18"/>
                <w:u w:val="none"/>
              </w:rPr>
            </w:pPr>
          </w:p>
        </w:tc>
      </w:tr>
      <w:tr w14:paraId="07F01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61B4B5FF">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4EC0013E">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21DA6F87">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34FA60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支援呼市疫情医护人员一次性绩效</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0CAAE9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28BA65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3E9B20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01C044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C946B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6CCA57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7FC41D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2A81E04A">
            <w:pPr>
              <w:snapToGrid w:val="0"/>
              <w:jc w:val="center"/>
              <w:rPr>
                <w:rFonts w:hint="eastAsia" w:ascii="宋体" w:hAnsi="宋体" w:eastAsia="宋体" w:cs="宋体"/>
                <w:i w:val="0"/>
                <w:iCs w:val="0"/>
                <w:color w:val="000000"/>
                <w:sz w:val="18"/>
                <w:szCs w:val="18"/>
                <w:u w:val="none"/>
              </w:rPr>
            </w:pPr>
          </w:p>
        </w:tc>
      </w:tr>
      <w:tr w14:paraId="5AD1F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72FD0946">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3DF13997">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087BC396">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48FCF8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支援呼市疫情医护人员防疫津贴</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2F4E08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370810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5FB774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748</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0C4675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748.00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6DD7E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49655C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18794E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04B98B18">
            <w:pPr>
              <w:snapToGrid w:val="0"/>
              <w:jc w:val="center"/>
              <w:rPr>
                <w:rFonts w:hint="eastAsia" w:ascii="宋体" w:hAnsi="宋体" w:eastAsia="宋体" w:cs="宋体"/>
                <w:i w:val="0"/>
                <w:iCs w:val="0"/>
                <w:color w:val="000000"/>
                <w:sz w:val="18"/>
                <w:szCs w:val="18"/>
                <w:u w:val="none"/>
              </w:rPr>
            </w:pPr>
          </w:p>
        </w:tc>
      </w:tr>
      <w:tr w14:paraId="17D52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4C23554E">
            <w:pPr>
              <w:snapToGrid w:val="0"/>
              <w:jc w:val="center"/>
              <w:rPr>
                <w:rFonts w:hint="eastAsia" w:ascii="宋体" w:hAnsi="宋体" w:eastAsia="宋体" w:cs="宋体"/>
                <w:i w:val="0"/>
                <w:iCs w:val="0"/>
                <w:color w:val="000000"/>
                <w:sz w:val="18"/>
                <w:szCs w:val="18"/>
                <w:u w:val="none"/>
              </w:rPr>
            </w:pPr>
          </w:p>
        </w:tc>
        <w:tc>
          <w:tcPr>
            <w:tcW w:w="239" w:type="pct"/>
            <w:vMerge w:val="restart"/>
            <w:tcBorders>
              <w:top w:val="single" w:color="000000" w:sz="4" w:space="0"/>
              <w:left w:val="single" w:color="000000" w:sz="4" w:space="0"/>
              <w:bottom w:val="nil"/>
              <w:right w:val="single" w:color="000000" w:sz="4" w:space="0"/>
            </w:tcBorders>
            <w:shd w:val="clear" w:color="auto" w:fill="auto"/>
            <w:vAlign w:val="center"/>
          </w:tcPr>
          <w:p w14:paraId="4A30B2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0086A8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0ECA22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支援呼和浩特市做好新冠疫情检验工作</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4456B1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759FA8F0">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61CBFF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支援工作</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17ED07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支援工作</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4E1190D6">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CFA34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35BA4D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29EBDAC5">
            <w:pPr>
              <w:snapToGrid w:val="0"/>
              <w:jc w:val="center"/>
              <w:rPr>
                <w:rFonts w:hint="eastAsia" w:ascii="宋体" w:hAnsi="宋体" w:eastAsia="宋体" w:cs="宋体"/>
                <w:i w:val="0"/>
                <w:iCs w:val="0"/>
                <w:color w:val="000000"/>
                <w:sz w:val="18"/>
                <w:szCs w:val="18"/>
                <w:u w:val="none"/>
              </w:rPr>
            </w:pPr>
          </w:p>
        </w:tc>
      </w:tr>
      <w:tr w14:paraId="79BF2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0EADF3B6">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4A0799B8">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571AEA49">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7BCA99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防止呼和浩特市新冠疫情扩散蔓延</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6BFF4C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595D34E8">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1DCD44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防止扩散</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6DC8D5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防止扩散</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470CA75C">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27322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39D14F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2739433">
            <w:pPr>
              <w:snapToGrid w:val="0"/>
              <w:jc w:val="center"/>
              <w:rPr>
                <w:rFonts w:hint="eastAsia" w:ascii="宋体" w:hAnsi="宋体" w:eastAsia="宋体" w:cs="宋体"/>
                <w:i w:val="0"/>
                <w:iCs w:val="0"/>
                <w:color w:val="000000"/>
                <w:sz w:val="18"/>
                <w:szCs w:val="18"/>
                <w:u w:val="none"/>
              </w:rPr>
            </w:pPr>
          </w:p>
        </w:tc>
      </w:tr>
      <w:tr w14:paraId="6DADD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10C2BCDB">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46EBD5AA">
            <w:pPr>
              <w:snapToGrid w:val="0"/>
              <w:jc w:val="center"/>
              <w:rPr>
                <w:rFonts w:hint="eastAsia" w:ascii="宋体" w:hAnsi="宋体" w:eastAsia="宋体" w:cs="宋体"/>
                <w:i w:val="0"/>
                <w:iCs w:val="0"/>
                <w:color w:val="000000"/>
                <w:sz w:val="18"/>
                <w:szCs w:val="18"/>
                <w:u w:val="none"/>
              </w:rPr>
            </w:pP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2925EC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6106B5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保持新型冠状病毒感染消除状态</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144A37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36A59392">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42DC76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维持</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798383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维持</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6934105F">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636D3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486C33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1F33130D">
            <w:pPr>
              <w:snapToGrid w:val="0"/>
              <w:jc w:val="center"/>
              <w:rPr>
                <w:rFonts w:hint="eastAsia" w:ascii="宋体" w:hAnsi="宋体" w:eastAsia="宋体" w:cs="宋体"/>
                <w:i w:val="0"/>
                <w:iCs w:val="0"/>
                <w:color w:val="000000"/>
                <w:sz w:val="18"/>
                <w:szCs w:val="18"/>
                <w:u w:val="none"/>
              </w:rPr>
            </w:pPr>
          </w:p>
        </w:tc>
      </w:tr>
      <w:tr w14:paraId="54154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5CCD24C9">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7C5F41E9">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29FD2CA1">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552D7F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保障呼和浩特居民生活不受新冠疫情影响</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0498BC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07140412">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2DBAF4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55897C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63E43B88">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5F2BA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23079F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36C55470">
            <w:pPr>
              <w:snapToGrid w:val="0"/>
              <w:jc w:val="center"/>
              <w:rPr>
                <w:rFonts w:hint="eastAsia" w:ascii="宋体" w:hAnsi="宋体" w:eastAsia="宋体" w:cs="宋体"/>
                <w:i w:val="0"/>
                <w:iCs w:val="0"/>
                <w:color w:val="000000"/>
                <w:sz w:val="18"/>
                <w:szCs w:val="18"/>
                <w:u w:val="none"/>
              </w:rPr>
            </w:pPr>
          </w:p>
        </w:tc>
      </w:tr>
      <w:tr w14:paraId="72C96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2C730278">
            <w:pPr>
              <w:snapToGrid w:val="0"/>
              <w:jc w:val="center"/>
              <w:rPr>
                <w:rFonts w:hint="eastAsia" w:ascii="宋体" w:hAnsi="宋体" w:eastAsia="宋体" w:cs="宋体"/>
                <w:i w:val="0"/>
                <w:iCs w:val="0"/>
                <w:color w:val="000000"/>
                <w:sz w:val="18"/>
                <w:szCs w:val="18"/>
                <w:u w:val="none"/>
              </w:rPr>
            </w:pPr>
          </w:p>
        </w:tc>
        <w:tc>
          <w:tcPr>
            <w:tcW w:w="239" w:type="pct"/>
            <w:tcBorders>
              <w:top w:val="single" w:color="000000" w:sz="4" w:space="0"/>
              <w:left w:val="single" w:color="000000" w:sz="4" w:space="0"/>
              <w:bottom w:val="nil"/>
              <w:right w:val="single" w:color="000000" w:sz="4" w:space="0"/>
            </w:tcBorders>
            <w:shd w:val="clear" w:color="auto" w:fill="auto"/>
            <w:vAlign w:val="center"/>
          </w:tcPr>
          <w:p w14:paraId="4C7182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55" w:type="pct"/>
            <w:tcBorders>
              <w:top w:val="single" w:color="000000" w:sz="4" w:space="0"/>
              <w:left w:val="single" w:color="000000" w:sz="4" w:space="0"/>
              <w:bottom w:val="nil"/>
              <w:right w:val="single" w:color="000000" w:sz="4" w:space="0"/>
            </w:tcBorders>
            <w:shd w:val="clear" w:color="auto" w:fill="auto"/>
            <w:vAlign w:val="center"/>
          </w:tcPr>
          <w:p w14:paraId="6ED827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0D588D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对质量控制的满意度</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3217A3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062FE979">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55FCEA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3F822B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00E90419">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0B5D95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2EC5DA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080037FC">
            <w:pPr>
              <w:snapToGrid w:val="0"/>
              <w:jc w:val="center"/>
              <w:rPr>
                <w:rFonts w:hint="eastAsia" w:ascii="宋体" w:hAnsi="宋体" w:eastAsia="宋体" w:cs="宋体"/>
                <w:i w:val="0"/>
                <w:iCs w:val="0"/>
                <w:color w:val="000000"/>
                <w:sz w:val="18"/>
                <w:szCs w:val="18"/>
                <w:u w:val="none"/>
              </w:rPr>
            </w:pPr>
          </w:p>
        </w:tc>
      </w:tr>
      <w:tr w14:paraId="4F621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477"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908FB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D5F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D29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23876">
            <w:pPr>
              <w:snapToGrid w:val="0"/>
              <w:jc w:val="center"/>
              <w:rPr>
                <w:rFonts w:hint="eastAsia" w:ascii="宋体" w:hAnsi="宋体" w:eastAsia="宋体" w:cs="宋体"/>
                <w:i w:val="0"/>
                <w:iCs w:val="0"/>
                <w:color w:val="000000"/>
                <w:sz w:val="18"/>
                <w:szCs w:val="18"/>
                <w:u w:val="none"/>
              </w:rPr>
            </w:pPr>
          </w:p>
        </w:tc>
      </w:tr>
    </w:tbl>
    <w:p w14:paraId="0F5B0106">
      <w:pPr>
        <w:widowControl/>
        <w:spacing w:before="240" w:after="240"/>
        <w:jc w:val="left"/>
        <w:rPr>
          <w:rFonts w:ascii="kai_ti_gb2312" w:hAnsi="kai_ti_gb2312" w:eastAsia="kai_ti_gb2312" w:cs="kai_ti_gb2312"/>
          <w:b/>
          <w:bCs/>
          <w:kern w:val="0"/>
          <w:sz w:val="27"/>
          <w:szCs w:val="27"/>
        </w:rPr>
      </w:pPr>
    </w:p>
    <w:p w14:paraId="0FCAE85E">
      <w:pPr>
        <w:widowControl/>
        <w:spacing w:before="240" w:after="240"/>
        <w:ind w:firstLine="321" w:firstLineChars="100"/>
        <w:jc w:val="left"/>
        <w:rPr>
          <w:rFonts w:hint="eastAsia" w:ascii="楷体" w:hAnsi="楷体" w:eastAsia="楷体" w:cs="楷体"/>
          <w:kern w:val="0"/>
          <w:sz w:val="32"/>
          <w:szCs w:val="32"/>
        </w:rPr>
      </w:pPr>
      <w:r>
        <w:rPr>
          <w:rFonts w:hint="eastAsia" w:ascii="楷体" w:hAnsi="楷体" w:eastAsia="楷体" w:cs="楷体"/>
          <w:b/>
          <w:bCs/>
          <w:kern w:val="0"/>
          <w:sz w:val="32"/>
          <w:szCs w:val="32"/>
        </w:rPr>
        <w:t>（三）部门项目绩效评价结果。</w:t>
      </w:r>
    </w:p>
    <w:p w14:paraId="273814CA">
      <w:pPr>
        <w:widowControl/>
        <w:spacing w:before="240" w:after="240"/>
        <w:jc w:val="left"/>
        <w:rPr>
          <w:rFonts w:eastAsia="Times New Roman"/>
          <w:kern w:val="0"/>
          <w:sz w:val="24"/>
        </w:rPr>
      </w:pPr>
      <w:r>
        <w:rPr>
          <w:rFonts w:ascii="仿宋_GB2312" w:hAnsi="仿宋_GB2312" w:eastAsia="仿宋_GB2312" w:cs="仿宋_GB2312"/>
          <w:kern w:val="0"/>
          <w:sz w:val="27"/>
          <w:szCs w:val="27"/>
        </w:rPr>
        <w:t>   </w:t>
      </w:r>
      <w:r>
        <w:rPr>
          <w:rFonts w:hint="eastAsia" w:ascii="仿宋" w:hAnsi="仿宋" w:eastAsia="仿宋" w:cs="仿宋"/>
          <w:kern w:val="0"/>
          <w:sz w:val="32"/>
          <w:szCs w:val="32"/>
        </w:rPr>
        <w:t xml:space="preserve"> 以</w:t>
      </w:r>
      <w:r>
        <w:rPr>
          <w:rFonts w:hint="eastAsia" w:ascii="仿宋" w:hAnsi="仿宋" w:eastAsia="仿宋" w:cs="仿宋"/>
          <w:kern w:val="0"/>
          <w:sz w:val="32"/>
          <w:szCs w:val="32"/>
          <w:lang w:val="en-US" w:eastAsia="zh-CN"/>
        </w:rPr>
        <w:t>老干部体检经费</w:t>
      </w:r>
      <w:r>
        <w:rPr>
          <w:rFonts w:hint="eastAsia" w:ascii="仿宋" w:hAnsi="仿宋" w:eastAsia="仿宋" w:cs="仿宋"/>
          <w:kern w:val="0"/>
          <w:sz w:val="32"/>
          <w:szCs w:val="32"/>
        </w:rPr>
        <w:t>项目为例，该项目绩效评价综合得分为</w:t>
      </w:r>
      <w:r>
        <w:rPr>
          <w:rFonts w:hint="eastAsia" w:ascii="仿宋" w:hAnsi="仿宋" w:eastAsia="仿宋" w:cs="仿宋"/>
          <w:kern w:val="0"/>
          <w:sz w:val="32"/>
          <w:szCs w:val="32"/>
          <w:u w:val="single"/>
          <w:lang w:val="en-US" w:eastAsia="zh-CN"/>
        </w:rPr>
        <w:t>100</w:t>
      </w:r>
      <w:r>
        <w:rPr>
          <w:rFonts w:hint="eastAsia" w:ascii="仿宋" w:hAnsi="仿宋" w:eastAsia="仿宋" w:cs="仿宋"/>
          <w:kern w:val="0"/>
          <w:sz w:val="32"/>
          <w:szCs w:val="32"/>
        </w:rPr>
        <w:t>分，绩效评价结果为“优”。部门项目绩效评价得分情况详见部门（单位）具体绩效评价结果</w:t>
      </w:r>
      <w:r>
        <w:rPr>
          <w:rFonts w:ascii="仿宋_GB2312" w:hAnsi="仿宋_GB2312" w:eastAsia="仿宋_GB2312" w:cs="仿宋_GB2312"/>
          <w:kern w:val="0"/>
          <w:sz w:val="27"/>
          <w:szCs w:val="27"/>
        </w:rPr>
        <w:t>。</w:t>
      </w:r>
    </w:p>
    <w:p w14:paraId="596C8516">
      <w:pPr>
        <w:widowControl/>
        <w:spacing w:before="240" w:after="240"/>
        <w:jc w:val="left"/>
        <w:rPr>
          <w:rFonts w:eastAsia="Times New Roman"/>
          <w:kern w:val="0"/>
          <w:sz w:val="24"/>
        </w:rPr>
      </w:pPr>
      <w:r>
        <w:rPr>
          <w:rFonts w:ascii="仿宋_GB2312" w:hAnsi="仿宋_GB2312" w:eastAsia="仿宋_GB2312" w:cs="仿宋_GB2312"/>
          <w:color w:val="0E00FE"/>
          <w:kern w:val="0"/>
          <w:sz w:val="27"/>
          <w:szCs w:val="27"/>
        </w:rPr>
        <w:t xml:space="preserve">    </w:t>
      </w:r>
    </w:p>
    <w:p w14:paraId="3D918846">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第三部分 名词解释</w:t>
      </w:r>
    </w:p>
    <w:p w14:paraId="2DBFC906">
      <w:pPr>
        <w:widowControl/>
        <w:spacing w:before="240" w:after="240"/>
        <w:jc w:val="left"/>
        <w:rPr>
          <w:rFonts w:eastAsia="Times New Roman"/>
          <w:kern w:val="0"/>
          <w:sz w:val="32"/>
          <w:szCs w:val="32"/>
        </w:rPr>
      </w:pPr>
      <w:r>
        <w:rPr>
          <w:rFonts w:ascii="仿宋_GB2312" w:hAnsi="仿宋_GB2312" w:eastAsia="仿宋_GB2312" w:cs="仿宋_GB2312"/>
          <w:b/>
          <w:bCs/>
          <w:kern w:val="0"/>
          <w:sz w:val="27"/>
          <w:szCs w:val="27"/>
        </w:rPr>
        <w:t> </w:t>
      </w:r>
      <w:r>
        <w:rPr>
          <w:rFonts w:ascii="仿宋_GB2312" w:hAnsi="仿宋_GB2312" w:eastAsia="仿宋_GB2312" w:cs="仿宋_GB2312"/>
          <w:b/>
          <w:bCs/>
          <w:kern w:val="0"/>
          <w:sz w:val="32"/>
          <w:szCs w:val="32"/>
        </w:rPr>
        <w:t xml:space="preserve">   一、财政拨款收入：</w:t>
      </w:r>
      <w:r>
        <w:rPr>
          <w:rFonts w:ascii="仿宋_GB2312" w:hAnsi="仿宋_GB2312" w:eastAsia="仿宋_GB2312" w:cs="仿宋_GB2312"/>
          <w:kern w:val="0"/>
          <w:sz w:val="32"/>
          <w:szCs w:val="32"/>
        </w:rPr>
        <w:t>从同级财政部门取得的各类财政拨款，包括一般公共预算财政拨款、政府性基金预算财政拨款、国有资本经营预算财政拨款。</w:t>
      </w:r>
    </w:p>
    <w:p w14:paraId="3187C08C">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二、上级补助收入：</w:t>
      </w:r>
      <w:r>
        <w:rPr>
          <w:rFonts w:ascii="仿宋_GB2312" w:hAnsi="仿宋_GB2312" w:eastAsia="仿宋_GB2312" w:cs="仿宋_GB2312"/>
          <w:kern w:val="0"/>
          <w:sz w:val="32"/>
          <w:szCs w:val="32"/>
        </w:rPr>
        <w:t>指事业单位从主管部门和上级单位取得的非财政补助收入。</w:t>
      </w:r>
    </w:p>
    <w:p w14:paraId="74B42068">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三、财政专户管理教育收费：</w:t>
      </w:r>
      <w:r>
        <w:rPr>
          <w:rFonts w:ascii="仿宋_GB2312" w:hAnsi="仿宋_GB2312" w:eastAsia="仿宋_GB2312" w:cs="仿宋_GB2312"/>
          <w:kern w:val="0"/>
          <w:sz w:val="32"/>
          <w:szCs w:val="32"/>
        </w:rPr>
        <w:t>指缴入财政专户、实行专项管理的高中以上学费、住宿费、高校委托培养费、函大、电大、夜大及短训班培训费等教育收费。</w:t>
      </w:r>
    </w:p>
    <w:p w14:paraId="4C434983">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四、事业收入：</w:t>
      </w:r>
      <w:r>
        <w:rPr>
          <w:rFonts w:ascii="仿宋_GB2312" w:hAnsi="仿宋_GB2312" w:eastAsia="仿宋_GB2312" w:cs="仿宋_GB2312"/>
          <w:kern w:val="0"/>
          <w:sz w:val="32"/>
          <w:szCs w:val="32"/>
        </w:rPr>
        <w:t>指事业单位开展专业业务活动及其辅助活动取得的收入。</w:t>
      </w:r>
    </w:p>
    <w:p w14:paraId="12705B22">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五、经营收入：</w:t>
      </w:r>
      <w:r>
        <w:rPr>
          <w:rFonts w:ascii="仿宋_GB2312" w:hAnsi="仿宋_GB2312" w:eastAsia="仿宋_GB2312" w:cs="仿宋_GB2312"/>
          <w:kern w:val="0"/>
          <w:sz w:val="32"/>
          <w:szCs w:val="32"/>
        </w:rPr>
        <w:t>指事业单位在专业业务活动及其辅助活动之外开展非独立核算经营活动取得的收入。</w:t>
      </w:r>
    </w:p>
    <w:p w14:paraId="656BDA82">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六、附属单位上缴收入：</w:t>
      </w:r>
      <w:r>
        <w:rPr>
          <w:rFonts w:ascii="仿宋_GB2312" w:hAnsi="仿宋_GB2312" w:eastAsia="仿宋_GB2312" w:cs="仿宋_GB2312"/>
          <w:kern w:val="0"/>
          <w:sz w:val="32"/>
          <w:szCs w:val="32"/>
        </w:rPr>
        <w:t>指事业单位取得附属独立核算单位按照有关规定上缴的收入。</w:t>
      </w:r>
    </w:p>
    <w:p w14:paraId="3B6A54DF">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七、其他收入：</w:t>
      </w:r>
      <w:r>
        <w:rPr>
          <w:rFonts w:ascii="仿宋_GB2312" w:hAnsi="仿宋_GB2312" w:eastAsia="仿宋_GB2312" w:cs="仿宋_GB2312"/>
          <w:kern w:val="0"/>
          <w:sz w:val="32"/>
          <w:szCs w:val="32"/>
        </w:rPr>
        <w:t>取得的除上述财政拨款收入、上级补助收入、事业收入、经营收入、附属单位上缴收入等以外的各项收入。</w:t>
      </w:r>
    </w:p>
    <w:p w14:paraId="2F8682C7">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八、使用非财政拨款结余（含专用结余）：</w:t>
      </w:r>
      <w:r>
        <w:rPr>
          <w:rFonts w:ascii="仿宋_GB2312" w:hAnsi="仿宋_GB2312" w:eastAsia="仿宋_GB2312" w:cs="仿宋_GB2312"/>
          <w:kern w:val="0"/>
          <w:sz w:val="32"/>
          <w:szCs w:val="32"/>
        </w:rPr>
        <w:t>指事业单位按照预算管理要求使用非财政拨款结余</w:t>
      </w:r>
      <w:r>
        <w:rPr>
          <w:rFonts w:ascii="仿宋_GB2312" w:hAnsi="仿宋_GB2312" w:eastAsia="仿宋_GB2312" w:cs="仿宋_GB2312"/>
          <w:color w:val="000000"/>
          <w:kern w:val="0"/>
          <w:sz w:val="32"/>
          <w:szCs w:val="32"/>
        </w:rPr>
        <w:t>弥补收支差额的金额，以及使用专用结余安排支出的金额。</w:t>
      </w:r>
    </w:p>
    <w:p w14:paraId="10805ED0">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九、年初结转和结余：</w:t>
      </w:r>
      <w:r>
        <w:rPr>
          <w:rFonts w:ascii="仿宋_GB2312" w:hAnsi="仿宋_GB2312" w:eastAsia="仿宋_GB2312" w:cs="仿宋_GB2312"/>
          <w:kern w:val="0"/>
          <w:sz w:val="32"/>
          <w:szCs w:val="32"/>
        </w:rPr>
        <w:t>指单位上年结转本年使用的基本支出结转、项目支出结转和结余、经营结余。</w:t>
      </w:r>
    </w:p>
    <w:p w14:paraId="55446C9B">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十、结余分配：</w:t>
      </w:r>
      <w:r>
        <w:rPr>
          <w:rFonts w:ascii="仿宋_GB2312" w:hAnsi="仿宋_GB2312" w:eastAsia="仿宋_GB2312" w:cs="仿宋_GB2312"/>
          <w:kern w:val="0"/>
          <w:sz w:val="32"/>
          <w:szCs w:val="32"/>
        </w:rPr>
        <w:t>指单位按规定缴纳企业所得税以及从非财政拨款结余或经营结余中提取各类结余的情况。</w:t>
      </w:r>
    </w:p>
    <w:p w14:paraId="2941749A">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十一、年末结转和结余资金：</w:t>
      </w:r>
      <w:r>
        <w:rPr>
          <w:rFonts w:ascii="仿宋_GB2312" w:hAnsi="仿宋_GB2312" w:eastAsia="仿宋_GB2312" w:cs="仿宋_GB2312"/>
          <w:kern w:val="0"/>
          <w:sz w:val="32"/>
          <w:szCs w:val="32"/>
        </w:rPr>
        <w:t>指单位结转下年的基本支出结转、项目支出结转和结余、经营结余。</w:t>
      </w:r>
    </w:p>
    <w:p w14:paraId="74C30E2E">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十二、基本支出：</w:t>
      </w:r>
      <w:r>
        <w:rPr>
          <w:rFonts w:ascii="仿宋_GB2312" w:hAnsi="仿宋_GB2312" w:eastAsia="仿宋_GB2312" w:cs="仿宋_GB2312"/>
          <w:kern w:val="0"/>
          <w:sz w:val="32"/>
          <w:szCs w:val="32"/>
        </w:rPr>
        <w:t>指为保障机构正常运转、完成日常工作任务所发生的支出，包括人员经费和公用经费。</w:t>
      </w:r>
    </w:p>
    <w:p w14:paraId="1D952483">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十三、项目支出：</w:t>
      </w:r>
      <w:r>
        <w:rPr>
          <w:rFonts w:ascii="仿宋_GB2312" w:hAnsi="仿宋_GB2312" w:eastAsia="仿宋_GB2312" w:cs="仿宋_GB2312"/>
          <w:kern w:val="0"/>
          <w:sz w:val="32"/>
          <w:szCs w:val="32"/>
        </w:rPr>
        <w:t>指在为完成特定的行政工作任务或事业发展目标所发生的支出。</w:t>
      </w:r>
    </w:p>
    <w:p w14:paraId="2320939B">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十四、上缴上级支出：</w:t>
      </w:r>
      <w:r>
        <w:rPr>
          <w:rFonts w:ascii="仿宋_GB2312" w:hAnsi="仿宋_GB2312" w:eastAsia="仿宋_GB2312" w:cs="仿宋_GB2312"/>
          <w:kern w:val="0"/>
          <w:sz w:val="32"/>
          <w:szCs w:val="32"/>
        </w:rPr>
        <w:t>指事业单位按照财政部门和主管部门的规定上缴上级单位的支出。</w:t>
      </w:r>
    </w:p>
    <w:p w14:paraId="5B9F569E">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十五、经营支出：</w:t>
      </w:r>
      <w:r>
        <w:rPr>
          <w:rFonts w:ascii="仿宋_GB2312" w:hAnsi="仿宋_GB2312" w:eastAsia="仿宋_GB2312" w:cs="仿宋_GB2312"/>
          <w:kern w:val="0"/>
          <w:sz w:val="32"/>
          <w:szCs w:val="32"/>
        </w:rPr>
        <w:t>指事业单位在专业业务活动及其辅助活动之外开展非独立核算经营活动发生的支出。</w:t>
      </w:r>
    </w:p>
    <w:p w14:paraId="59140B29">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十六、对附属单位补助支出：</w:t>
      </w:r>
      <w:r>
        <w:rPr>
          <w:rFonts w:ascii="仿宋_GB2312" w:hAnsi="仿宋_GB2312" w:eastAsia="仿宋_GB2312" w:cs="仿宋_GB2312"/>
          <w:kern w:val="0"/>
          <w:sz w:val="32"/>
          <w:szCs w:val="32"/>
        </w:rPr>
        <w:t>指事业单位用财政拨款收入之外的收入对附属单位补助发生的支出。</w:t>
      </w:r>
    </w:p>
    <w:p w14:paraId="07ED7AB9">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十七、“三公”经费：</w:t>
      </w:r>
      <w:r>
        <w:rPr>
          <w:rFonts w:ascii="仿宋_GB2312" w:hAnsi="仿宋_GB2312" w:eastAsia="仿宋_GB2312" w:cs="仿宋_GB2312"/>
          <w:kern w:val="0"/>
          <w:sz w:val="32"/>
          <w:szCs w:val="32"/>
        </w:rPr>
        <w:t>指部门（单位）用财政拨款安排的因公出国（境）费、公务用车购置及运行维护费和公务接待费。其中，因公出国（境）费反映部门（单位）)公务出国（境）的国际旅费、国外城市间交通费、住宿费、伙食费、培训费、公杂费等支出；公务用车购置及运行维护费反映部门（单位）公务用车购置支出（含车辆购置税、牌照费）以及按规定保留的公务用车燃料费、维修费、过路过桥费、保险费、安全奖励费用等支出；公务接待费反映部门（单位）按规定开支的各类公务接待（含外宾接待）费用。</w:t>
      </w:r>
    </w:p>
    <w:p w14:paraId="777D6089">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十八、机关运行经费：</w:t>
      </w:r>
      <w:r>
        <w:rPr>
          <w:rFonts w:ascii="仿宋_GB2312" w:hAnsi="仿宋_GB2312" w:eastAsia="仿宋_GB2312" w:cs="仿宋_GB2312"/>
          <w:color w:val="000000"/>
          <w:kern w:val="0"/>
          <w:sz w:val="32"/>
          <w:szCs w:val="32"/>
        </w:rPr>
        <w:t>指行政单位和参照公务员法管理的事业单位财政拨款</w:t>
      </w:r>
      <w:r>
        <w:rPr>
          <w:rFonts w:ascii="仿宋_GB2312" w:hAnsi="仿宋_GB2312" w:eastAsia="仿宋_GB2312" w:cs="仿宋_GB2312"/>
          <w:kern w:val="0"/>
          <w:sz w:val="32"/>
          <w:szCs w:val="32"/>
        </w:rPr>
        <w:t>基本支出中的公用经费支出，包括办公及印刷费、邮电费、差旅费、会议费、福利费、日常维修费、专用材料及一般设备购置费、办公用房水电费、办公用房取暖费、办公用房物业管理费、公务用车运行维护费及其他费用等。</w:t>
      </w:r>
    </w:p>
    <w:p w14:paraId="28707DE7">
      <w:pPr>
        <w:widowControl/>
        <w:spacing w:before="240" w:after="240"/>
        <w:jc w:val="left"/>
        <w:rPr>
          <w:rFonts w:eastAsia="Times New Roman"/>
          <w:kern w:val="0"/>
          <w:sz w:val="24"/>
        </w:rPr>
      </w:pPr>
      <w:r>
        <w:rPr>
          <w:rFonts w:ascii="仿宋_GB2312" w:hAnsi="仿宋_GB2312" w:eastAsia="仿宋_GB2312" w:cs="仿宋_GB2312"/>
          <w:color w:val="0E00FE"/>
          <w:kern w:val="0"/>
          <w:sz w:val="27"/>
          <w:szCs w:val="27"/>
        </w:rPr>
        <w:t xml:space="preserve">    </w:t>
      </w:r>
    </w:p>
    <w:p w14:paraId="2391A54E">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第四部分 决算公开联系方式及信息反馈渠道</w:t>
      </w:r>
    </w:p>
    <w:p w14:paraId="5E3FC75B">
      <w:pPr>
        <w:widowControl/>
        <w:spacing w:before="240" w:after="240"/>
        <w:jc w:val="left"/>
        <w:rPr>
          <w:rFonts w:eastAsia="Times New Roman"/>
          <w:kern w:val="0"/>
          <w:sz w:val="24"/>
        </w:rPr>
      </w:pPr>
    </w:p>
    <w:p w14:paraId="4ADD5356">
      <w:pPr>
        <w:widowControl/>
        <w:spacing w:before="240" w:after="240"/>
        <w:jc w:val="left"/>
        <w:rPr>
          <w:rFonts w:eastAsia="Times New Roman"/>
          <w:kern w:val="0"/>
          <w:sz w:val="32"/>
          <w:szCs w:val="32"/>
        </w:rPr>
      </w:pPr>
      <w:r>
        <w:rPr>
          <w:rFonts w:ascii="仿宋_GB2312" w:hAnsi="仿宋_GB2312" w:eastAsia="仿宋_GB2312" w:cs="仿宋_GB2312"/>
          <w:kern w:val="0"/>
          <w:sz w:val="27"/>
          <w:szCs w:val="27"/>
        </w:rPr>
        <w:t xml:space="preserve">  </w:t>
      </w:r>
      <w:r>
        <w:rPr>
          <w:rFonts w:ascii="仿宋_GB2312" w:hAnsi="仿宋_GB2312" w:eastAsia="仿宋_GB2312" w:cs="仿宋_GB2312"/>
          <w:kern w:val="0"/>
          <w:sz w:val="32"/>
          <w:szCs w:val="32"/>
        </w:rPr>
        <w:t>  本单位决算公开信息反馈和联系方式：</w:t>
      </w:r>
    </w:p>
    <w:p w14:paraId="4B88F723">
      <w:pPr>
        <w:widowControl/>
        <w:spacing w:before="240" w:after="240"/>
        <w:jc w:val="left"/>
        <w:rPr>
          <w:rFonts w:eastAsia="Times New Roman"/>
          <w:kern w:val="0"/>
          <w:sz w:val="24"/>
        </w:rPr>
      </w:pPr>
      <w:r>
        <w:rPr>
          <w:rFonts w:ascii="仿宋_GB2312" w:hAnsi="仿宋_GB2312" w:eastAsia="仿宋_GB2312" w:cs="仿宋_GB2312"/>
          <w:kern w:val="0"/>
          <w:sz w:val="32"/>
          <w:szCs w:val="32"/>
        </w:rPr>
        <w:t>    联系人：</w:t>
      </w:r>
      <w:r>
        <w:rPr>
          <w:rFonts w:ascii="仿宋_GB2312" w:hAnsi="仿宋_GB2312" w:eastAsia="仿宋_GB2312" w:cs="仿宋_GB2312"/>
          <w:kern w:val="0"/>
          <w:sz w:val="32"/>
          <w:szCs w:val="32"/>
          <w:u w:val="single"/>
        </w:rPr>
        <w:t>李林 </w:t>
      </w:r>
      <w:r>
        <w:rPr>
          <w:rFonts w:ascii="仿宋_GB2312" w:hAnsi="仿宋_GB2312" w:eastAsia="仿宋_GB2312" w:cs="仿宋_GB2312"/>
          <w:kern w:val="0"/>
          <w:sz w:val="32"/>
          <w:szCs w:val="32"/>
        </w:rPr>
        <w:t>          联系电话：</w:t>
      </w:r>
      <w:r>
        <w:rPr>
          <w:rFonts w:ascii="仿宋_GB2312" w:hAnsi="仿宋_GB2312" w:eastAsia="仿宋_GB2312" w:cs="仿宋_GB2312"/>
          <w:kern w:val="0"/>
          <w:sz w:val="32"/>
          <w:szCs w:val="32"/>
          <w:u w:val="single"/>
        </w:rPr>
        <w:t>0473-8992293</w:t>
      </w:r>
      <w:r>
        <w:rPr>
          <w:rFonts w:ascii="仿宋_GB2312" w:hAnsi="仿宋_GB2312" w:eastAsia="仿宋_GB2312" w:cs="仿宋_GB2312"/>
          <w:kern w:val="0"/>
          <w:sz w:val="27"/>
          <w:szCs w:val="27"/>
          <w:u w:val="single"/>
        </w:rPr>
        <w:t> </w:t>
      </w:r>
    </w:p>
    <w:p w14:paraId="700651FB">
      <w:pPr>
        <w:widowControl/>
        <w:spacing w:before="240" w:after="240"/>
        <w:jc w:val="left"/>
        <w:rPr>
          <w:rFonts w:eastAsia="Times New Roman"/>
          <w:kern w:val="0"/>
          <w:sz w:val="24"/>
        </w:rPr>
      </w:pPr>
    </w:p>
    <w:p w14:paraId="32841E03">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第五部分 单位决算表</w:t>
      </w:r>
    </w:p>
    <w:p w14:paraId="7B6C0662">
      <w:pPr>
        <w:widowControl/>
        <w:spacing w:before="240" w:after="240"/>
        <w:jc w:val="center"/>
        <w:rPr>
          <w:rFonts w:eastAsia="Times New Roman"/>
          <w:kern w:val="0"/>
          <w:sz w:val="24"/>
        </w:rPr>
      </w:pPr>
    </w:p>
    <w:p w14:paraId="1108522D">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    见附件。</w:t>
      </w:r>
    </w:p>
    <w:p w14:paraId="423E27FA">
      <w:pPr>
        <w:widowControl/>
        <w:spacing w:before="240" w:after="240"/>
        <w:jc w:val="left"/>
        <w:rPr>
          <w:rFonts w:eastAsia="Times New Roman"/>
          <w:kern w:val="0"/>
          <w:sz w:val="24"/>
        </w:rPr>
      </w:pPr>
    </w:p>
    <w:p w14:paraId="591E1966">
      <w:pPr>
        <w:widowControl/>
        <w:spacing w:before="240" w:after="240"/>
        <w:jc w:val="left"/>
        <w:rPr>
          <w:rFonts w:eastAsia="Times New Roman"/>
          <w:kern w:val="0"/>
          <w:sz w:val="24"/>
        </w:rPr>
      </w:pPr>
    </w:p>
    <w:p w14:paraId="0DB04BF4">
      <w:pPr>
        <w:widowControl/>
        <w:spacing w:before="240" w:after="240"/>
        <w:jc w:val="left"/>
        <w:rPr>
          <w:rFonts w:eastAsia="Times New Roman"/>
          <w:kern w:val="0"/>
          <w:sz w:val="24"/>
        </w:rPr>
      </w:pPr>
    </w:p>
    <w:p w14:paraId="3BA2110C">
      <w:pPr>
        <w:widowControl/>
        <w:spacing w:before="240" w:after="240"/>
        <w:jc w:val="left"/>
        <w:rPr>
          <w:rFonts w:eastAsia="Times New Roman"/>
          <w:kern w:val="0"/>
          <w:sz w:val="24"/>
        </w:rPr>
      </w:pPr>
    </w:p>
    <w:bookmarkEnd w:id="0"/>
    <w:p w14:paraId="1C6D0A38">
      <w:pPr>
        <w:adjustRightInd w:val="0"/>
        <w:snapToGrid w:val="0"/>
        <w:rPr>
          <w:rFonts w:ascii="宋体" w:hAnsi="宋体"/>
          <w:b/>
          <w:sz w:val="32"/>
          <w:szCs w:val="32"/>
        </w:rPr>
      </w:pPr>
    </w:p>
    <w:p w14:paraId="13D5B14F">
      <w:pPr>
        <w:adjustRightInd w:val="0"/>
        <w:snapToGrid w:val="0"/>
        <w:rPr>
          <w:rFonts w:ascii="宋体" w:hAnsi="宋体"/>
          <w:b/>
          <w:sz w:val="32"/>
          <w:szCs w:val="32"/>
        </w:rPr>
      </w:pPr>
    </w:p>
    <w:p w14:paraId="524665DB">
      <w:pPr>
        <w:tabs>
          <w:tab w:val="left" w:pos="8415"/>
        </w:tabs>
      </w:pPr>
    </w:p>
    <w:sectPr>
      <w:footerReference r:id="rId4" w:type="default"/>
      <w:pgSz w:w="11906" w:h="16838"/>
      <w:pgMar w:top="1440" w:right="1083" w:bottom="1440" w:left="1083" w:header="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58C7966-C344-498F-AB60-D6BE11F2DF09}"/>
  </w:font>
  <w:font w:name="黑体">
    <w:panose1 w:val="02010609060101010101"/>
    <w:charset w:val="86"/>
    <w:family w:val="auto"/>
    <w:pitch w:val="default"/>
    <w:sig w:usb0="800002BF" w:usb1="38CF7CFA" w:usb2="00000016" w:usb3="00000000" w:csb0="00040001" w:csb1="00000000"/>
    <w:embedRegular r:id="rId2" w:fontKey="{1E88761C-0E7F-423D-8113-369D91B300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DA258400-BC6D-4D57-8B2D-A8D4A7A93684}"/>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embedRegular r:id="rId4" w:fontKey="{2B5BDF2F-6255-47D0-9442-62D3C96784FC}"/>
  </w:font>
  <w:font w:name="楷体">
    <w:panose1 w:val="02010609060101010101"/>
    <w:charset w:val="86"/>
    <w:family w:val="auto"/>
    <w:pitch w:val="default"/>
    <w:sig w:usb0="800002BF" w:usb1="38CF7CFA" w:usb2="00000016" w:usb3="00000000" w:csb0="00040001" w:csb1="00000000"/>
    <w:embedRegular r:id="rId5" w:fontKey="{E7E0C389-B420-4AC7-A945-62E24EBEF6C0}"/>
  </w:font>
  <w:font w:name="仿宋_GB2312">
    <w:panose1 w:val="02010609030101010101"/>
    <w:charset w:val="86"/>
    <w:family w:val="modern"/>
    <w:pitch w:val="default"/>
    <w:sig w:usb0="00000001" w:usb1="080E0000" w:usb2="00000000" w:usb3="00000000" w:csb0="00040000" w:csb1="00000000"/>
    <w:embedRegular r:id="rId6" w:fontKey="{1DD1A7F7-85AA-4054-BF1A-D1AD67F58D7E}"/>
  </w:font>
  <w:font w:name="仿宋">
    <w:panose1 w:val="02010609060101010101"/>
    <w:charset w:val="86"/>
    <w:family w:val="modern"/>
    <w:pitch w:val="default"/>
    <w:sig w:usb0="800002BF" w:usb1="38CF7CFA" w:usb2="00000016" w:usb3="00000000" w:csb0="00040001" w:csb1="00000000"/>
    <w:embedRegular r:id="rId7" w:fontKey="{F67890D9-158D-4446-940A-24855D7BEF87}"/>
  </w:font>
  <w:font w:name="方正小标宋简体">
    <w:panose1 w:val="02000000000000000000"/>
    <w:charset w:val="86"/>
    <w:family w:val="auto"/>
    <w:pitch w:val="default"/>
    <w:sig w:usb0="00000001" w:usb1="08000000" w:usb2="00000000" w:usb3="00000000" w:csb0="00040000" w:csb1="00000000"/>
    <w:embedRegular r:id="rId8" w:fontKey="{096ABD21-0F61-4FB4-9EF7-58961132A7F8}"/>
  </w:font>
  <w:font w:name="times_new_roman">
    <w:altName w:val="Times New Roman"/>
    <w:panose1 w:val="00000000000000000000"/>
    <w:charset w:val="00"/>
    <w:family w:val="roman"/>
    <w:pitch w:val="default"/>
    <w:sig w:usb0="00000000" w:usb1="00000000" w:usb2="00000000" w:usb3="00000000" w:csb0="00000000" w:csb1="00000000"/>
    <w:embedRegular r:id="rId9" w:fontKey="{A124A564-D7CD-42F2-BEFA-687127B0FC1A}"/>
  </w:font>
  <w:font w:name="方正楷体_GBK">
    <w:altName w:val="微软雅黑"/>
    <w:panose1 w:val="02000000000000000000"/>
    <w:charset w:val="86"/>
    <w:family w:val="auto"/>
    <w:pitch w:val="default"/>
    <w:sig w:usb0="00000000" w:usb1="00000000" w:usb2="00000000" w:usb3="00000000" w:csb0="00040000" w:csb1="00000000"/>
    <w:embedRegular r:id="rId10" w:fontKey="{6DB7158D-C139-4401-8659-6F01BD975943}"/>
  </w:font>
  <w:font w:name="微软雅黑">
    <w:panose1 w:val="020B0503020204020204"/>
    <w:charset w:val="86"/>
    <w:family w:val="auto"/>
    <w:pitch w:val="default"/>
    <w:sig w:usb0="80000287" w:usb1="2ACF3C50" w:usb2="00000016" w:usb3="00000000" w:csb0="0004001F" w:csb1="00000000"/>
  </w:font>
  <w:font w:name="kai_ti_gb2312">
    <w:altName w:val="Times New Roman"/>
    <w:panose1 w:val="00000000000000000000"/>
    <w:charset w:val="00"/>
    <w:family w:val="roman"/>
    <w:pitch w:val="default"/>
    <w:sig w:usb0="00000000" w:usb1="00000000" w:usb2="00000000" w:usb3="00000000" w:csb0="00000000" w:csb1="00000000"/>
    <w:embedRegular r:id="rId11" w:fontKey="{B9286D38-1994-4BFA-AC2E-58691866BE4B}"/>
  </w:font>
  <w:font w:name="fang_song_gb2312">
    <w:altName w:val="Segoe Print"/>
    <w:panose1 w:val="00000000000000000000"/>
    <w:charset w:val="00"/>
    <w:family w:val="auto"/>
    <w:pitch w:val="default"/>
    <w:sig w:usb0="00000000" w:usb1="00000000" w:usb2="00000000" w:usb3="00000000" w:csb0="00000000" w:csb1="00000000"/>
    <w:embedRegular r:id="rId12" w:fontKey="{1BDF1514-D3B4-45E5-9258-6B3163868A06}"/>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8E529">
    <w:pPr>
      <w:jc w:val="center"/>
    </w:pPr>
    <w:r>
      <w:rPr>
        <w:rFonts w:ascii="宋体" w:hAnsi="宋体" w:cs="宋体"/>
        <w:sz w:val="18"/>
      </w:rPr>
      <w:fldChar w:fldCharType="begin"/>
    </w:r>
    <w:r>
      <w:rPr>
        <w:rFonts w:ascii="宋体" w:hAnsi="宋体" w:cs="宋体"/>
        <w:sz w:val="18"/>
      </w:rPr>
      <w:instrText xml:space="preserve"> PAGE </w:instrText>
    </w:r>
    <w:r>
      <w:rPr>
        <w:rFonts w:ascii="宋体" w:hAnsi="宋体" w:cs="宋体"/>
        <w:sz w:val="18"/>
      </w:rPr>
      <w:fldChar w:fldCharType="separate"/>
    </w:r>
    <w:r>
      <w:rPr>
        <w:rFonts w:ascii="宋体" w:hAnsi="宋体" w:cs="宋体"/>
        <w:sz w:val="18"/>
      </w:rPr>
      <w:t>1</w:t>
    </w:r>
    <w:r>
      <w:rPr>
        <w:rFonts w:ascii="宋体" w:hAnsi="宋体" w:cs="宋体"/>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BF758">
    <w:pPr>
      <w:pStyle w:val="11"/>
      <w:jc w:val="center"/>
    </w:pPr>
    <w:r>
      <w:fldChar w:fldCharType="begin"/>
    </w:r>
    <w:r>
      <w:instrText xml:space="preserve"> PAGE   \* MERGEFORMAT </w:instrText>
    </w:r>
    <w:r>
      <w:fldChar w:fldCharType="separate"/>
    </w:r>
    <w:r>
      <w:rPr>
        <w:lang w:val="zh-CN"/>
      </w:rPr>
      <w:t>11</w:t>
    </w:r>
    <w:r>
      <w:rPr>
        <w:lang w:val="zh-CN"/>
      </w:rPr>
      <w:fldChar w:fldCharType="end"/>
    </w:r>
  </w:p>
  <w:p w14:paraId="287F60F9">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DFBB48"/>
    <w:multiLevelType w:val="singleLevel"/>
    <w:tmpl w:val="7FDFBB48"/>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536"/>
    <w:rsid w:val="0000662F"/>
    <w:rsid w:val="00023E75"/>
    <w:rsid w:val="00033C6A"/>
    <w:rsid w:val="00063AC2"/>
    <w:rsid w:val="000774F0"/>
    <w:rsid w:val="0008308B"/>
    <w:rsid w:val="00097269"/>
    <w:rsid w:val="000A769F"/>
    <w:rsid w:val="000D3889"/>
    <w:rsid w:val="0010682D"/>
    <w:rsid w:val="001620BF"/>
    <w:rsid w:val="001814D4"/>
    <w:rsid w:val="00183373"/>
    <w:rsid w:val="001E7634"/>
    <w:rsid w:val="001F1DF1"/>
    <w:rsid w:val="00204509"/>
    <w:rsid w:val="00215173"/>
    <w:rsid w:val="00225D2E"/>
    <w:rsid w:val="0023107E"/>
    <w:rsid w:val="00233241"/>
    <w:rsid w:val="00297C52"/>
    <w:rsid w:val="00300987"/>
    <w:rsid w:val="0030784F"/>
    <w:rsid w:val="00312846"/>
    <w:rsid w:val="00367870"/>
    <w:rsid w:val="00375E79"/>
    <w:rsid w:val="003A4E85"/>
    <w:rsid w:val="003B3EAA"/>
    <w:rsid w:val="00482D36"/>
    <w:rsid w:val="00490629"/>
    <w:rsid w:val="0049507B"/>
    <w:rsid w:val="004A738F"/>
    <w:rsid w:val="004B1589"/>
    <w:rsid w:val="004B721F"/>
    <w:rsid w:val="004D7065"/>
    <w:rsid w:val="004E0B6C"/>
    <w:rsid w:val="005011E1"/>
    <w:rsid w:val="00505A51"/>
    <w:rsid w:val="0051384E"/>
    <w:rsid w:val="00521603"/>
    <w:rsid w:val="00536012"/>
    <w:rsid w:val="0054657E"/>
    <w:rsid w:val="0059054F"/>
    <w:rsid w:val="00596608"/>
    <w:rsid w:val="005B4139"/>
    <w:rsid w:val="005C13AB"/>
    <w:rsid w:val="00667493"/>
    <w:rsid w:val="006C017F"/>
    <w:rsid w:val="006E7255"/>
    <w:rsid w:val="007003B2"/>
    <w:rsid w:val="007402A0"/>
    <w:rsid w:val="00762248"/>
    <w:rsid w:val="00787000"/>
    <w:rsid w:val="007A7BA5"/>
    <w:rsid w:val="007B6706"/>
    <w:rsid w:val="007C1FDD"/>
    <w:rsid w:val="007D6292"/>
    <w:rsid w:val="00857D98"/>
    <w:rsid w:val="00894C48"/>
    <w:rsid w:val="00896385"/>
    <w:rsid w:val="008A10DB"/>
    <w:rsid w:val="008B5455"/>
    <w:rsid w:val="009125DD"/>
    <w:rsid w:val="00954CD9"/>
    <w:rsid w:val="009A5EF3"/>
    <w:rsid w:val="009D6904"/>
    <w:rsid w:val="009E1EE8"/>
    <w:rsid w:val="009E227B"/>
    <w:rsid w:val="009E308A"/>
    <w:rsid w:val="009F0536"/>
    <w:rsid w:val="00A147CF"/>
    <w:rsid w:val="00A251C3"/>
    <w:rsid w:val="00A270BE"/>
    <w:rsid w:val="00A36C1D"/>
    <w:rsid w:val="00A517A0"/>
    <w:rsid w:val="00A62486"/>
    <w:rsid w:val="00AB013A"/>
    <w:rsid w:val="00AD11A5"/>
    <w:rsid w:val="00AE47F5"/>
    <w:rsid w:val="00AF5F33"/>
    <w:rsid w:val="00B27D51"/>
    <w:rsid w:val="00B32BEE"/>
    <w:rsid w:val="00B373AF"/>
    <w:rsid w:val="00B4208A"/>
    <w:rsid w:val="00B57D7A"/>
    <w:rsid w:val="00B76620"/>
    <w:rsid w:val="00B840CE"/>
    <w:rsid w:val="00B96C3D"/>
    <w:rsid w:val="00BD0928"/>
    <w:rsid w:val="00BE5F73"/>
    <w:rsid w:val="00BF4228"/>
    <w:rsid w:val="00C07A30"/>
    <w:rsid w:val="00C352FF"/>
    <w:rsid w:val="00C44231"/>
    <w:rsid w:val="00CC6B8B"/>
    <w:rsid w:val="00CD3751"/>
    <w:rsid w:val="00D2051A"/>
    <w:rsid w:val="00D96390"/>
    <w:rsid w:val="00E219E7"/>
    <w:rsid w:val="00E30CE0"/>
    <w:rsid w:val="00E3602E"/>
    <w:rsid w:val="00E60D6A"/>
    <w:rsid w:val="00E73321"/>
    <w:rsid w:val="00E77EC0"/>
    <w:rsid w:val="00E914C1"/>
    <w:rsid w:val="00E97C37"/>
    <w:rsid w:val="00EE533B"/>
    <w:rsid w:val="00F03A2B"/>
    <w:rsid w:val="00F04882"/>
    <w:rsid w:val="00F63327"/>
    <w:rsid w:val="00F80A29"/>
    <w:rsid w:val="00F941FA"/>
    <w:rsid w:val="00FA7CA5"/>
    <w:rsid w:val="00FD08EC"/>
    <w:rsid w:val="00FD7690"/>
    <w:rsid w:val="012873DD"/>
    <w:rsid w:val="03767EB5"/>
    <w:rsid w:val="03E12F49"/>
    <w:rsid w:val="03F30391"/>
    <w:rsid w:val="04264445"/>
    <w:rsid w:val="04936AD7"/>
    <w:rsid w:val="049B394B"/>
    <w:rsid w:val="049E51A0"/>
    <w:rsid w:val="056A5D0F"/>
    <w:rsid w:val="05C14046"/>
    <w:rsid w:val="05D9088E"/>
    <w:rsid w:val="06BD542C"/>
    <w:rsid w:val="088E3EF3"/>
    <w:rsid w:val="08B41F8C"/>
    <w:rsid w:val="08E64065"/>
    <w:rsid w:val="09283F87"/>
    <w:rsid w:val="0B0859F4"/>
    <w:rsid w:val="0D731909"/>
    <w:rsid w:val="0E303356"/>
    <w:rsid w:val="0EAE1417"/>
    <w:rsid w:val="0ED62150"/>
    <w:rsid w:val="0F1669F0"/>
    <w:rsid w:val="0F1E7653"/>
    <w:rsid w:val="0FC83DB6"/>
    <w:rsid w:val="10A92850"/>
    <w:rsid w:val="10B56901"/>
    <w:rsid w:val="10B65D95"/>
    <w:rsid w:val="10C4438D"/>
    <w:rsid w:val="116457F1"/>
    <w:rsid w:val="14733F9D"/>
    <w:rsid w:val="14CB4C3E"/>
    <w:rsid w:val="156A5A20"/>
    <w:rsid w:val="157469BA"/>
    <w:rsid w:val="159A3ED7"/>
    <w:rsid w:val="1847541E"/>
    <w:rsid w:val="189A7199"/>
    <w:rsid w:val="18B84674"/>
    <w:rsid w:val="18C15C1F"/>
    <w:rsid w:val="19644C42"/>
    <w:rsid w:val="19993273"/>
    <w:rsid w:val="19B13FAC"/>
    <w:rsid w:val="1A262A10"/>
    <w:rsid w:val="1A2F6245"/>
    <w:rsid w:val="1A524B70"/>
    <w:rsid w:val="1AC6751C"/>
    <w:rsid w:val="1C4C7740"/>
    <w:rsid w:val="1D102CD1"/>
    <w:rsid w:val="1DB33AF5"/>
    <w:rsid w:val="1E4B6CFA"/>
    <w:rsid w:val="1EAB12A3"/>
    <w:rsid w:val="1EB340DE"/>
    <w:rsid w:val="2106743D"/>
    <w:rsid w:val="21A744A5"/>
    <w:rsid w:val="220A14E7"/>
    <w:rsid w:val="22631AF5"/>
    <w:rsid w:val="235B27CC"/>
    <w:rsid w:val="25DC5D6A"/>
    <w:rsid w:val="27361C9B"/>
    <w:rsid w:val="274403BD"/>
    <w:rsid w:val="27614E14"/>
    <w:rsid w:val="28506079"/>
    <w:rsid w:val="29F55AB0"/>
    <w:rsid w:val="2ACC2BBA"/>
    <w:rsid w:val="2B8949B8"/>
    <w:rsid w:val="2CA02EE9"/>
    <w:rsid w:val="2EF57F78"/>
    <w:rsid w:val="2F1E79E9"/>
    <w:rsid w:val="2FE024A4"/>
    <w:rsid w:val="30573881"/>
    <w:rsid w:val="31F369F1"/>
    <w:rsid w:val="322C0025"/>
    <w:rsid w:val="33355BB1"/>
    <w:rsid w:val="36B87A7C"/>
    <w:rsid w:val="37F45271"/>
    <w:rsid w:val="38F92A63"/>
    <w:rsid w:val="3A2B0CF2"/>
    <w:rsid w:val="3A8A3C6B"/>
    <w:rsid w:val="3B451940"/>
    <w:rsid w:val="3D8C6ADA"/>
    <w:rsid w:val="3D976F39"/>
    <w:rsid w:val="3F1D32A0"/>
    <w:rsid w:val="3F8860E9"/>
    <w:rsid w:val="40493C80"/>
    <w:rsid w:val="429A5B44"/>
    <w:rsid w:val="43042694"/>
    <w:rsid w:val="43877E89"/>
    <w:rsid w:val="46BD39FD"/>
    <w:rsid w:val="46DB13AA"/>
    <w:rsid w:val="46E72619"/>
    <w:rsid w:val="4ADC3C3A"/>
    <w:rsid w:val="4BBE073F"/>
    <w:rsid w:val="4CEF7E03"/>
    <w:rsid w:val="4D746CD8"/>
    <w:rsid w:val="4D9260FF"/>
    <w:rsid w:val="4DDA3A1E"/>
    <w:rsid w:val="4F680661"/>
    <w:rsid w:val="50927EDA"/>
    <w:rsid w:val="50B018FB"/>
    <w:rsid w:val="50B140F3"/>
    <w:rsid w:val="51955765"/>
    <w:rsid w:val="51B23361"/>
    <w:rsid w:val="51CD438B"/>
    <w:rsid w:val="52317E52"/>
    <w:rsid w:val="52860E1F"/>
    <w:rsid w:val="52F520DA"/>
    <w:rsid w:val="54705100"/>
    <w:rsid w:val="56876E58"/>
    <w:rsid w:val="56A31EE4"/>
    <w:rsid w:val="56D06A51"/>
    <w:rsid w:val="572D2FE2"/>
    <w:rsid w:val="57625677"/>
    <w:rsid w:val="58871D81"/>
    <w:rsid w:val="5915699E"/>
    <w:rsid w:val="59224C88"/>
    <w:rsid w:val="5A1D74F1"/>
    <w:rsid w:val="5B3C492C"/>
    <w:rsid w:val="5B5C723B"/>
    <w:rsid w:val="5C425CFC"/>
    <w:rsid w:val="5CE506A1"/>
    <w:rsid w:val="5D902A97"/>
    <w:rsid w:val="5F2711D9"/>
    <w:rsid w:val="5FC26020"/>
    <w:rsid w:val="61C471B3"/>
    <w:rsid w:val="623A400D"/>
    <w:rsid w:val="624B51DE"/>
    <w:rsid w:val="62E53885"/>
    <w:rsid w:val="62E541D8"/>
    <w:rsid w:val="63A8314E"/>
    <w:rsid w:val="63BD3EBA"/>
    <w:rsid w:val="63F20BA7"/>
    <w:rsid w:val="645111D2"/>
    <w:rsid w:val="653F3F71"/>
    <w:rsid w:val="69F55AF1"/>
    <w:rsid w:val="6A1A3E14"/>
    <w:rsid w:val="6ADC20E2"/>
    <w:rsid w:val="6B673089"/>
    <w:rsid w:val="6B7B3981"/>
    <w:rsid w:val="6CF22E26"/>
    <w:rsid w:val="6E2D7665"/>
    <w:rsid w:val="6E900B48"/>
    <w:rsid w:val="6EBF31DC"/>
    <w:rsid w:val="6EEA7083"/>
    <w:rsid w:val="6F14725C"/>
    <w:rsid w:val="7070325A"/>
    <w:rsid w:val="7091206C"/>
    <w:rsid w:val="717F28DA"/>
    <w:rsid w:val="74346170"/>
    <w:rsid w:val="74985826"/>
    <w:rsid w:val="76263B40"/>
    <w:rsid w:val="777B774E"/>
    <w:rsid w:val="782C21D0"/>
    <w:rsid w:val="78BD1F5B"/>
    <w:rsid w:val="78F33E83"/>
    <w:rsid w:val="79CE3E0C"/>
    <w:rsid w:val="7BC52107"/>
    <w:rsid w:val="7C68003A"/>
    <w:rsid w:val="7CD2109B"/>
    <w:rsid w:val="7D0139C4"/>
    <w:rsid w:val="7D676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spacing w:before="260" w:after="260" w:line="416" w:lineRule="auto"/>
      <w:outlineLvl w:val="2"/>
    </w:pPr>
    <w:rPr>
      <w:b/>
      <w:bCs/>
      <w:sz w:val="32"/>
      <w:szCs w:val="32"/>
    </w:rPr>
  </w:style>
  <w:style w:type="paragraph" w:styleId="5">
    <w:name w:val="heading 4"/>
    <w:basedOn w:val="1"/>
    <w:next w:val="1"/>
    <w:link w:val="23"/>
    <w:qFormat/>
    <w:uiPriority w:val="0"/>
    <w:pPr>
      <w:keepNext/>
      <w:keepLines/>
      <w:spacing w:before="280" w:after="290" w:line="376" w:lineRule="auto"/>
      <w:outlineLvl w:val="3"/>
    </w:pPr>
    <w:rPr>
      <w:rFonts w:ascii="Cambria" w:hAnsi="Cambria"/>
      <w:b/>
      <w:bCs/>
      <w:sz w:val="28"/>
      <w:szCs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qFormat/>
    <w:uiPriority w:val="0"/>
    <w:pPr>
      <w:ind w:left="1260"/>
      <w:jc w:val="left"/>
    </w:pPr>
    <w:rPr>
      <w:sz w:val="20"/>
      <w:szCs w:val="20"/>
    </w:rPr>
  </w:style>
  <w:style w:type="paragraph" w:styleId="7">
    <w:name w:val="Document Map"/>
    <w:basedOn w:val="1"/>
    <w:qFormat/>
    <w:uiPriority w:val="0"/>
    <w:pPr>
      <w:shd w:val="clear" w:color="auto" w:fill="000080"/>
    </w:pPr>
  </w:style>
  <w:style w:type="paragraph" w:styleId="8">
    <w:name w:val="toc 5"/>
    <w:basedOn w:val="1"/>
    <w:next w:val="1"/>
    <w:autoRedefine/>
    <w:qFormat/>
    <w:uiPriority w:val="0"/>
    <w:pPr>
      <w:ind w:left="840"/>
      <w:jc w:val="left"/>
    </w:pPr>
    <w:rPr>
      <w:sz w:val="20"/>
      <w:szCs w:val="20"/>
    </w:rPr>
  </w:style>
  <w:style w:type="paragraph" w:styleId="9">
    <w:name w:val="toc 3"/>
    <w:basedOn w:val="1"/>
    <w:next w:val="1"/>
    <w:qFormat/>
    <w:uiPriority w:val="0"/>
    <w:pPr>
      <w:adjustRightInd w:val="0"/>
      <w:snapToGrid w:val="0"/>
      <w:spacing w:line="360" w:lineRule="auto"/>
      <w:ind w:firstLine="400" w:firstLineChars="400"/>
      <w:jc w:val="left"/>
    </w:pPr>
    <w:rPr>
      <w:sz w:val="24"/>
      <w:szCs w:val="20"/>
    </w:rPr>
  </w:style>
  <w:style w:type="paragraph" w:styleId="10">
    <w:name w:val="toc 8"/>
    <w:basedOn w:val="1"/>
    <w:next w:val="1"/>
    <w:autoRedefine/>
    <w:qFormat/>
    <w:uiPriority w:val="0"/>
    <w:pPr>
      <w:ind w:left="1470"/>
      <w:jc w:val="left"/>
    </w:pPr>
    <w:rPr>
      <w:sz w:val="20"/>
      <w:szCs w:val="20"/>
    </w:rPr>
  </w:style>
  <w:style w:type="paragraph" w:styleId="11">
    <w:name w:val="footer"/>
    <w:basedOn w:val="1"/>
    <w:link w:val="26"/>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pPr>
      <w:adjustRightInd w:val="0"/>
      <w:snapToGrid w:val="0"/>
      <w:spacing w:line="360" w:lineRule="auto"/>
      <w:jc w:val="left"/>
    </w:pPr>
    <w:rPr>
      <w:b/>
      <w:bCs/>
      <w:sz w:val="24"/>
      <w:szCs w:val="20"/>
    </w:rPr>
  </w:style>
  <w:style w:type="paragraph" w:styleId="14">
    <w:name w:val="toc 4"/>
    <w:basedOn w:val="1"/>
    <w:next w:val="1"/>
    <w:autoRedefine/>
    <w:qFormat/>
    <w:uiPriority w:val="0"/>
    <w:pPr>
      <w:ind w:left="630"/>
      <w:jc w:val="left"/>
    </w:pPr>
    <w:rPr>
      <w:sz w:val="20"/>
      <w:szCs w:val="20"/>
    </w:rPr>
  </w:style>
  <w:style w:type="paragraph" w:styleId="15">
    <w:name w:val="toc 6"/>
    <w:basedOn w:val="1"/>
    <w:next w:val="1"/>
    <w:autoRedefine/>
    <w:qFormat/>
    <w:uiPriority w:val="0"/>
    <w:pPr>
      <w:ind w:left="1050"/>
      <w:jc w:val="left"/>
    </w:pPr>
    <w:rPr>
      <w:sz w:val="20"/>
      <w:szCs w:val="20"/>
    </w:rPr>
  </w:style>
  <w:style w:type="paragraph" w:styleId="16">
    <w:name w:val="toc 2"/>
    <w:basedOn w:val="1"/>
    <w:next w:val="1"/>
    <w:qFormat/>
    <w:uiPriority w:val="0"/>
    <w:pPr>
      <w:adjustRightInd w:val="0"/>
      <w:snapToGrid w:val="0"/>
      <w:spacing w:line="360" w:lineRule="auto"/>
      <w:ind w:firstLine="200" w:firstLineChars="200"/>
      <w:jc w:val="left"/>
    </w:pPr>
    <w:rPr>
      <w:iCs/>
      <w:sz w:val="24"/>
      <w:szCs w:val="20"/>
    </w:rPr>
  </w:style>
  <w:style w:type="paragraph" w:styleId="17">
    <w:name w:val="toc 9"/>
    <w:basedOn w:val="1"/>
    <w:next w:val="1"/>
    <w:autoRedefine/>
    <w:qFormat/>
    <w:uiPriority w:val="0"/>
    <w:pPr>
      <w:ind w:left="1680"/>
      <w:jc w:val="left"/>
    </w:pPr>
    <w:rPr>
      <w:sz w:val="20"/>
      <w:szCs w:val="20"/>
    </w:rPr>
  </w:style>
  <w:style w:type="paragraph" w:styleId="18">
    <w:name w:val="Title"/>
    <w:basedOn w:val="1"/>
    <w:next w:val="1"/>
    <w:qFormat/>
    <w:uiPriority w:val="10"/>
    <w:pPr>
      <w:spacing w:line="560" w:lineRule="exact"/>
      <w:ind w:firstLine="200" w:firstLineChars="200"/>
      <w:jc w:val="left"/>
      <w:outlineLvl w:val="0"/>
    </w:pPr>
    <w:rPr>
      <w:rFonts w:ascii="Cambria" w:hAnsi="Cambria" w:eastAsia="楷体_GB2312"/>
      <w:b/>
      <w:bCs/>
      <w:sz w:val="32"/>
      <w:szCs w:val="32"/>
    </w:rPr>
  </w:style>
  <w:style w:type="character" w:styleId="21">
    <w:name w:val="page number"/>
    <w:basedOn w:val="20"/>
    <w:qFormat/>
    <w:uiPriority w:val="0"/>
  </w:style>
  <w:style w:type="character" w:styleId="22">
    <w:name w:val="Hyperlink"/>
    <w:basedOn w:val="20"/>
    <w:qFormat/>
    <w:uiPriority w:val="0"/>
    <w:rPr>
      <w:color w:val="0000FF"/>
      <w:u w:val="single"/>
    </w:rPr>
  </w:style>
  <w:style w:type="character" w:customStyle="1" w:styleId="23">
    <w:name w:val="标题 4 Char"/>
    <w:basedOn w:val="20"/>
    <w:link w:val="5"/>
    <w:qFormat/>
    <w:uiPriority w:val="0"/>
    <w:rPr>
      <w:rFonts w:ascii="Cambria" w:hAnsi="Cambria"/>
      <w:b/>
      <w:bCs/>
      <w:kern w:val="2"/>
      <w:sz w:val="28"/>
      <w:szCs w:val="28"/>
    </w:rPr>
  </w:style>
  <w:style w:type="paragraph" w:styleId="24">
    <w:name w:val="No Spacing"/>
    <w:link w:val="25"/>
    <w:qFormat/>
    <w:uiPriority w:val="0"/>
    <w:pPr>
      <w:ind w:firstLine="200" w:firstLineChars="200"/>
    </w:pPr>
    <w:rPr>
      <w:rFonts w:ascii="Times New Roman" w:hAnsi="Times New Roman" w:eastAsia="仿宋_GB2312" w:cs="Times New Roman"/>
      <w:sz w:val="30"/>
      <w:szCs w:val="22"/>
      <w:lang w:val="en-US" w:eastAsia="zh-CN" w:bidi="ar-SA"/>
    </w:rPr>
  </w:style>
  <w:style w:type="character" w:customStyle="1" w:styleId="25">
    <w:name w:val="无间隔 Char"/>
    <w:link w:val="24"/>
    <w:qFormat/>
    <w:locked/>
    <w:uiPriority w:val="0"/>
    <w:rPr>
      <w:rFonts w:eastAsia="仿宋_GB2312"/>
      <w:sz w:val="30"/>
      <w:szCs w:val="22"/>
      <w:lang w:bidi="ar-SA"/>
    </w:rPr>
  </w:style>
  <w:style w:type="character" w:customStyle="1" w:styleId="26">
    <w:name w:val="页脚 Char"/>
    <w:basedOn w:val="20"/>
    <w:link w:val="11"/>
    <w:qFormat/>
    <w:uiPriority w:val="0"/>
    <w:rPr>
      <w:kern w:val="2"/>
      <w:sz w:val="18"/>
      <w:szCs w:val="18"/>
    </w:rPr>
  </w:style>
  <w:style w:type="paragraph" w:styleId="27">
    <w:name w:val="List Paragraph"/>
    <w:basedOn w:val="1"/>
    <w:qFormat/>
    <w:uiPriority w:val="0"/>
    <w:pPr>
      <w:ind w:firstLine="420" w:firstLineChars="200"/>
    </w:pPr>
  </w:style>
  <w:style w:type="character" w:customStyle="1" w:styleId="28">
    <w:name w:val="标题 3 Char"/>
    <w:basedOn w:val="20"/>
    <w:link w:val="4"/>
    <w:qFormat/>
    <w:uiPriority w:val="0"/>
    <w:rPr>
      <w:b/>
      <w:bCs/>
      <w:kern w:val="2"/>
      <w:sz w:val="32"/>
      <w:szCs w:val="32"/>
    </w:rPr>
  </w:style>
  <w:style w:type="paragraph" w:customStyle="1" w:styleId="29">
    <w:name w:val="MsoNormal"/>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r="http://schemas.openxmlformats.org/officeDocument/2006/relationships" xmlns:w="http://schemas.openxmlformats.org/wordprocessingml/2006/main"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9B97A646-B493-4C2E-9DE2-F984357564D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31</Pages>
  <Words>1831</Words>
  <Characters>1860</Characters>
  <Lines>81</Lines>
  <Paragraphs>22</Paragraphs>
  <TotalTime>11</TotalTime>
  <ScaleCrop>false</ScaleCrop>
  <LinksUpToDate>false</LinksUpToDate>
  <CharactersWithSpaces>1886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2025-09-17T03:22:00Z</dcterms:created>
  <dc:creator>Administrator</dc:creator>
  <cp:lastModifiedBy>WPS_1523843543</cp:lastModifiedBy>
  <cp:lastPrinted>2021-04-16T00:45:00Z</cp:lastPrinted>
  <dcterms:modified xsi:type="dcterms:W3CDTF">2025-10-11T06:49:48Z</dcterms:modified>
  <dc:title>××年度××部门/单位</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4835E84A4C9C4CF4A5E0F8873860CFC8_13</vt:lpwstr>
  </property>
  <property fmtid="{D5CDD505-2E9C-101B-9397-08002B2CF9AE}" pid="3" name="KSOProductBuildVer">
    <vt:lpwstr>2052-12.1.0.22529</vt:lpwstr>
  </property>
  <property fmtid="{D5CDD505-2E9C-101B-9397-08002B2CF9AE}" pid="4" name="KSOTemplateDocerSaveRecord">
    <vt:lpwstr>eyJoZGlkIjoiNGEzYzM4NDJjNDIwM2VmMmQ3NDliNjNjYTNkNjMyYzEiLCJ1c2VySWQiOiIzNjI0MTQyOTgifQ==</vt:lpwstr>
  </property>
</Properties>
</file>