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C8F36">
      <w:pPr>
        <w:spacing w:line="360" w:lineRule="auto"/>
        <w:jc w:val="center"/>
        <w:rPr>
          <w:rFonts w:ascii="宋体" w:hAnsi="宋体"/>
          <w:sz w:val="24"/>
        </w:rPr>
      </w:pPr>
    </w:p>
    <w:p w14:paraId="581962C8">
      <w:pPr>
        <w:spacing w:line="360" w:lineRule="auto"/>
        <w:jc w:val="center"/>
        <w:rPr>
          <w:rFonts w:ascii="宋体" w:hAnsi="宋体"/>
          <w:sz w:val="24"/>
        </w:rPr>
      </w:pPr>
    </w:p>
    <w:p w14:paraId="3106A6EF">
      <w:pPr>
        <w:spacing w:line="360" w:lineRule="auto"/>
        <w:jc w:val="center"/>
        <w:rPr>
          <w:rFonts w:ascii="宋体" w:hAnsi="宋体"/>
          <w:sz w:val="24"/>
        </w:rPr>
      </w:pPr>
    </w:p>
    <w:p w14:paraId="2F39FA78">
      <w:pPr>
        <w:spacing w:line="360" w:lineRule="auto"/>
        <w:jc w:val="center"/>
        <w:rPr>
          <w:rFonts w:ascii="宋体" w:hAnsi="宋体"/>
          <w:sz w:val="24"/>
        </w:rPr>
      </w:pPr>
    </w:p>
    <w:p w14:paraId="13BC7D66">
      <w:pPr>
        <w:spacing w:line="360" w:lineRule="auto"/>
        <w:jc w:val="center"/>
        <w:rPr>
          <w:rFonts w:ascii="宋体" w:hAnsi="宋体"/>
          <w:b/>
          <w:bCs/>
          <w:sz w:val="52"/>
          <w:szCs w:val="52"/>
        </w:rPr>
      </w:pPr>
      <w:r>
        <w:rPr>
          <w:rFonts w:ascii="宋体" w:hAnsi="宋体"/>
          <w:b/>
          <w:bCs/>
          <w:sz w:val="52"/>
          <w:szCs w:val="52"/>
        </w:rPr>
        <w:t>2024</w:t>
      </w:r>
      <w:r>
        <w:rPr>
          <w:rFonts w:hint="eastAsia" w:ascii="宋体" w:hAnsi="宋体"/>
          <w:b/>
          <w:bCs/>
          <w:sz w:val="52"/>
          <w:szCs w:val="52"/>
        </w:rPr>
        <w:t>年度乌海市卫生健康宣传教育中心</w:t>
      </w:r>
    </w:p>
    <w:p w14:paraId="52F82765">
      <w:pPr>
        <w:spacing w:line="360" w:lineRule="auto"/>
        <w:jc w:val="center"/>
        <w:rPr>
          <w:rFonts w:hint="default" w:ascii="宋体" w:hAnsi="宋体" w:eastAsia="宋体"/>
          <w:b/>
          <w:bCs/>
          <w:sz w:val="52"/>
          <w:szCs w:val="52"/>
          <w:highlight w:val="yellow"/>
          <w:lang w:val="en-US" w:eastAsia="zh-CN"/>
        </w:rPr>
      </w:pPr>
      <w:r>
        <w:rPr>
          <w:rFonts w:hint="eastAsia" w:ascii="宋体" w:hAnsi="宋体"/>
          <w:b/>
          <w:bCs/>
          <w:sz w:val="52"/>
          <w:szCs w:val="52"/>
          <w:highlight w:val="none"/>
          <w:lang w:val="en-US" w:eastAsia="zh-CN"/>
        </w:rPr>
        <w:t>决算公开</w:t>
      </w:r>
    </w:p>
    <w:p w14:paraId="163CB178">
      <w:pPr>
        <w:spacing w:line="360" w:lineRule="auto"/>
        <w:jc w:val="center"/>
        <w:rPr>
          <w:rFonts w:ascii="宋体" w:hAnsi="宋体"/>
          <w:b/>
          <w:bCs/>
          <w:sz w:val="52"/>
          <w:szCs w:val="52"/>
        </w:rPr>
      </w:pPr>
    </w:p>
    <w:p w14:paraId="1B5E3619">
      <w:pPr>
        <w:spacing w:line="360" w:lineRule="auto"/>
        <w:jc w:val="center"/>
        <w:rPr>
          <w:rFonts w:ascii="宋体" w:hAnsi="宋体"/>
          <w:b/>
          <w:bCs/>
          <w:sz w:val="52"/>
          <w:szCs w:val="52"/>
        </w:rPr>
      </w:pPr>
    </w:p>
    <w:p w14:paraId="4A827EFA">
      <w:pPr>
        <w:spacing w:line="360" w:lineRule="auto"/>
        <w:jc w:val="center"/>
        <w:rPr>
          <w:rFonts w:ascii="宋体" w:hAnsi="宋体"/>
          <w:b/>
          <w:bCs/>
          <w:sz w:val="52"/>
          <w:szCs w:val="52"/>
        </w:rPr>
      </w:pPr>
    </w:p>
    <w:p w14:paraId="73795B71">
      <w:pPr>
        <w:spacing w:line="360" w:lineRule="auto"/>
        <w:jc w:val="center"/>
        <w:rPr>
          <w:rFonts w:ascii="宋体" w:hAnsi="宋体"/>
          <w:b/>
          <w:bCs/>
          <w:sz w:val="52"/>
          <w:szCs w:val="52"/>
        </w:rPr>
      </w:pPr>
    </w:p>
    <w:p w14:paraId="0FCA7E34">
      <w:pPr>
        <w:spacing w:line="360" w:lineRule="auto"/>
        <w:jc w:val="center"/>
        <w:rPr>
          <w:rFonts w:ascii="宋体" w:hAnsi="宋体"/>
          <w:b/>
          <w:bCs/>
          <w:sz w:val="52"/>
          <w:szCs w:val="52"/>
        </w:rPr>
      </w:pPr>
    </w:p>
    <w:p w14:paraId="796493DF">
      <w:pPr>
        <w:ind w:firstLine="2249" w:firstLineChars="700"/>
        <w:rPr>
          <w:rFonts w:ascii="仿宋" w:hAnsi="仿宋" w:eastAsia="仿宋"/>
          <w:b/>
          <w:sz w:val="32"/>
          <w:szCs w:val="32"/>
        </w:rPr>
        <w:sectPr>
          <w:footerReference r:id="rId3" w:type="default"/>
          <w:pgSz w:w="11906" w:h="16838"/>
          <w:pgMar w:top="1440" w:right="1083" w:bottom="1440" w:left="1083" w:header="0" w:footer="720" w:gutter="0"/>
          <w:cols w:space="425" w:num="1"/>
          <w:docGrid w:type="lines" w:linePitch="312" w:charSpace="0"/>
        </w:sectPr>
      </w:pPr>
    </w:p>
    <w:p w14:paraId="09AF9D77">
      <w:pPr>
        <w:widowControl/>
        <w:spacing w:after="240"/>
        <w:jc w:val="center"/>
        <w:rPr>
          <w:rFonts w:eastAsia="Times New Roman"/>
          <w:kern w:val="0"/>
          <w:sz w:val="24"/>
        </w:rPr>
      </w:pPr>
      <w:bookmarkStart w:id="0" w:name="a000"/>
      <w:r>
        <w:rPr>
          <w:rFonts w:ascii="仿宋_GB2312" w:hAnsi="仿宋_GB2312" w:eastAsia="仿宋_GB2312" w:cs="仿宋_GB2312"/>
          <w:b/>
          <w:bCs/>
          <w:kern w:val="0"/>
          <w:sz w:val="54"/>
          <w:szCs w:val="54"/>
        </w:rPr>
        <w:t>目 录</w:t>
      </w:r>
    </w:p>
    <w:p w14:paraId="688303F6">
      <w:pPr>
        <w:widowControl/>
        <w:spacing w:before="240" w:after="240"/>
        <w:jc w:val="left"/>
        <w:rPr>
          <w:rFonts w:eastAsia="Times New Roman"/>
          <w:kern w:val="0"/>
          <w:sz w:val="24"/>
        </w:rPr>
      </w:pPr>
      <w:r>
        <w:rPr>
          <w:rFonts w:eastAsia="Times New Roman"/>
          <w:b/>
          <w:bCs/>
          <w:kern w:val="0"/>
          <w:sz w:val="24"/>
        </w:rPr>
        <w:t> </w:t>
      </w:r>
    </w:p>
    <w:p w14:paraId="0EE71E43">
      <w:pPr>
        <w:widowControl/>
        <w:spacing w:before="240" w:after="240"/>
        <w:jc w:val="left"/>
        <w:rPr>
          <w:rFonts w:eastAsia="Times New Roman"/>
          <w:kern w:val="0"/>
          <w:sz w:val="32"/>
          <w:szCs w:val="32"/>
        </w:rPr>
      </w:pPr>
      <w:r>
        <w:rPr>
          <w:rFonts w:ascii="黑体" w:hAnsi="黑体" w:eastAsia="黑体" w:cs="黑体"/>
          <w:kern w:val="0"/>
          <w:sz w:val="32"/>
          <w:szCs w:val="32"/>
        </w:rPr>
        <w:t>第一部分 单位概况</w:t>
      </w:r>
    </w:p>
    <w:p w14:paraId="151D3874">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一、主要职能、职责</w:t>
      </w:r>
    </w:p>
    <w:p w14:paraId="25303135">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二、单位机构设置及决算单位构成情况</w:t>
      </w:r>
    </w:p>
    <w:p w14:paraId="64A2F8DE">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三、2024年度单位主要工作完成情况</w:t>
      </w:r>
    </w:p>
    <w:p w14:paraId="1A9BD69F">
      <w:pPr>
        <w:widowControl/>
        <w:spacing w:before="240" w:after="240"/>
        <w:jc w:val="left"/>
        <w:rPr>
          <w:rFonts w:eastAsia="Times New Roman"/>
          <w:kern w:val="0"/>
          <w:sz w:val="32"/>
          <w:szCs w:val="32"/>
        </w:rPr>
      </w:pPr>
      <w:r>
        <w:rPr>
          <w:rFonts w:ascii="黑体" w:hAnsi="黑体" w:eastAsia="黑体" w:cs="黑体"/>
          <w:kern w:val="0"/>
          <w:sz w:val="32"/>
          <w:szCs w:val="32"/>
        </w:rPr>
        <w:t>第二部分 单位决算情况说明</w:t>
      </w:r>
    </w:p>
    <w:p w14:paraId="13415993">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一、收入支出决算总体情况说明</w:t>
      </w:r>
    </w:p>
    <w:p w14:paraId="2B11D813">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二、收入决算情况说明</w:t>
      </w:r>
    </w:p>
    <w:p w14:paraId="022F370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三、支出决算情况说明</w:t>
      </w:r>
    </w:p>
    <w:p w14:paraId="5EF1D890">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四、财政拨款收入支出决算总体情况说明</w:t>
      </w:r>
    </w:p>
    <w:p w14:paraId="48FC401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五、一般公共预算财政拨款支出决算情况说明</w:t>
      </w:r>
    </w:p>
    <w:p w14:paraId="24ADFEF0">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六、一般公共预算财政拨款基本支出决算情况说明</w:t>
      </w:r>
    </w:p>
    <w:p w14:paraId="6F60E53A">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七、一般公共预算财政拨款项目支出决算情况说明</w:t>
      </w:r>
    </w:p>
    <w:p w14:paraId="3D9EC1DB">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八、财政拨款“三公”经费支出决算情况说明</w:t>
      </w:r>
    </w:p>
    <w:p w14:paraId="5FA0317A">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九、政府性基金预算财政拨款支出决算情况说明</w:t>
      </w:r>
    </w:p>
    <w:p w14:paraId="71F6AE5F">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十、国有资本经营预算财政拨款支出决算情况说明</w:t>
      </w:r>
    </w:p>
    <w:p w14:paraId="5C02B8E7">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十一、机关运行经费</w:t>
      </w:r>
      <w:r>
        <w:rPr>
          <w:rFonts w:ascii="仿宋_GB2312" w:hAnsi="仿宋_GB2312" w:eastAsia="仿宋_GB2312" w:cs="仿宋_GB2312"/>
          <w:kern w:val="0"/>
          <w:sz w:val="32"/>
          <w:szCs w:val="32"/>
          <w:highlight w:val="none"/>
        </w:rPr>
        <w:t>（公用经费）</w:t>
      </w:r>
      <w:r>
        <w:rPr>
          <w:rFonts w:ascii="仿宋_GB2312" w:hAnsi="仿宋_GB2312" w:eastAsia="仿宋_GB2312" w:cs="仿宋_GB2312"/>
          <w:kern w:val="0"/>
          <w:sz w:val="32"/>
          <w:szCs w:val="32"/>
        </w:rPr>
        <w:t>支出决算情况说明</w:t>
      </w:r>
    </w:p>
    <w:p w14:paraId="4FC716BC">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十二、政府采购支出决算情况说明</w:t>
      </w:r>
    </w:p>
    <w:p w14:paraId="707AD1F5">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十三、国有资产占用情况说明</w:t>
      </w:r>
    </w:p>
    <w:p w14:paraId="163B30E1">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十四、预算绩效情况说明</w:t>
      </w:r>
    </w:p>
    <w:p w14:paraId="3C481E2A">
      <w:pPr>
        <w:widowControl/>
        <w:spacing w:before="240" w:after="240"/>
        <w:jc w:val="left"/>
        <w:rPr>
          <w:rFonts w:eastAsia="Times New Roman"/>
          <w:kern w:val="0"/>
          <w:sz w:val="32"/>
          <w:szCs w:val="32"/>
        </w:rPr>
      </w:pPr>
      <w:r>
        <w:rPr>
          <w:rFonts w:ascii="黑体" w:hAnsi="黑体" w:eastAsia="黑体" w:cs="黑体"/>
          <w:kern w:val="0"/>
          <w:sz w:val="32"/>
          <w:szCs w:val="32"/>
        </w:rPr>
        <w:t>第三部分 名词解释</w:t>
      </w:r>
    </w:p>
    <w:p w14:paraId="4108B0CA">
      <w:pPr>
        <w:widowControl/>
        <w:spacing w:before="240" w:after="240"/>
        <w:jc w:val="left"/>
        <w:rPr>
          <w:rFonts w:eastAsia="Times New Roman"/>
          <w:kern w:val="0"/>
          <w:sz w:val="32"/>
          <w:szCs w:val="32"/>
        </w:rPr>
      </w:pPr>
      <w:r>
        <w:rPr>
          <w:rFonts w:ascii="黑体" w:hAnsi="黑体" w:eastAsia="黑体" w:cs="黑体"/>
          <w:kern w:val="0"/>
          <w:sz w:val="32"/>
          <w:szCs w:val="32"/>
        </w:rPr>
        <w:t>第四部分 决算公开联系方式及信息反馈渠道</w:t>
      </w:r>
    </w:p>
    <w:p w14:paraId="074AFFA2">
      <w:pPr>
        <w:widowControl/>
        <w:spacing w:before="240" w:after="240"/>
        <w:jc w:val="left"/>
        <w:rPr>
          <w:rFonts w:eastAsia="Times New Roman"/>
          <w:kern w:val="0"/>
          <w:sz w:val="32"/>
          <w:szCs w:val="32"/>
        </w:rPr>
      </w:pPr>
      <w:r>
        <w:rPr>
          <w:rFonts w:ascii="黑体" w:hAnsi="黑体" w:eastAsia="黑体" w:cs="黑体"/>
          <w:kern w:val="0"/>
          <w:sz w:val="32"/>
          <w:szCs w:val="32"/>
        </w:rPr>
        <w:t>第五部分 单位决算表</w:t>
      </w:r>
    </w:p>
    <w:p w14:paraId="1C4C0BCC">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一、收入支出决算总表</w:t>
      </w:r>
    </w:p>
    <w:p w14:paraId="05F4C6D9">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二、收入决算表</w:t>
      </w:r>
    </w:p>
    <w:p w14:paraId="2086B3D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三、支出决算表</w:t>
      </w:r>
    </w:p>
    <w:p w14:paraId="7F0F87DD">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四、财政拨款收入支出决算总表</w:t>
      </w:r>
    </w:p>
    <w:p w14:paraId="2E86B251">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五、一般公共预算财政拨款支出决算表</w:t>
      </w:r>
    </w:p>
    <w:p w14:paraId="1FF4A0F6">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六、一般公共预算财政拨款基本支出决算明细表</w:t>
      </w:r>
    </w:p>
    <w:p w14:paraId="00AA7D4D">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七、一般公共预算财政拨款项目支出决算明细表</w:t>
      </w:r>
    </w:p>
    <w:p w14:paraId="391C8E3D">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八、政府性基金预算财政拨款收入支出决算表</w:t>
      </w:r>
    </w:p>
    <w:p w14:paraId="30860C46">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九、国有资本经营预算财政拨款收入支出决算表</w:t>
      </w:r>
    </w:p>
    <w:p w14:paraId="59EB084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十、财政拨款“三公”经费支出决算表</w:t>
      </w:r>
    </w:p>
    <w:p w14:paraId="74F2677E">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十一、机关运行经费支出、国有资产占用情况及政府采购支出信息表</w:t>
      </w:r>
    </w:p>
    <w:p w14:paraId="525A8F6A">
      <w:pPr>
        <w:widowControl/>
        <w:spacing w:before="240" w:after="240"/>
        <w:rPr>
          <w:rFonts w:eastAsia="Times New Roman"/>
          <w:kern w:val="0"/>
          <w:sz w:val="24"/>
        </w:rPr>
      </w:pPr>
    </w:p>
    <w:p w14:paraId="06074CD9">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第一部分 单位概况</w:t>
      </w:r>
    </w:p>
    <w:p w14:paraId="583405A8">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一、主要职能、职责</w:t>
      </w:r>
    </w:p>
    <w:p w14:paraId="4AFC745D">
      <w:pPr>
        <w:widowControl/>
        <w:spacing w:before="240" w:after="240"/>
        <w:ind w:firstLine="972" w:firstLineChars="304"/>
        <w:rPr>
          <w:rFonts w:hint="eastAsia" w:ascii="仿宋" w:hAnsi="仿宋" w:eastAsia="仿宋" w:cs="仿宋"/>
          <w:sz w:val="32"/>
          <w:szCs w:val="32"/>
        </w:rPr>
      </w:pPr>
      <w:r>
        <w:rPr>
          <w:rFonts w:hint="eastAsia" w:ascii="仿宋" w:hAnsi="仿宋" w:eastAsia="仿宋" w:cs="仿宋"/>
          <w:sz w:val="32"/>
          <w:szCs w:val="32"/>
        </w:rPr>
        <w:t xml:space="preserve">乌海市卫生健康宣传教育中心是乌海市卫生健康委员会领导下，围绕提高全市人民健康水平，有效地提高全市人民自我保健意识和自我保健能力，以及生命质量。 </w:t>
      </w:r>
    </w:p>
    <w:p w14:paraId="17363C09">
      <w:pPr>
        <w:widowControl/>
        <w:numPr>
          <w:ilvl w:val="0"/>
          <w:numId w:val="1"/>
        </w:numPr>
        <w:spacing w:before="240" w:after="240"/>
        <w:ind w:firstLine="430"/>
        <w:rPr>
          <w:rFonts w:hint="eastAsia" w:ascii="仿宋" w:hAnsi="仿宋" w:eastAsia="仿宋" w:cs="仿宋"/>
          <w:sz w:val="32"/>
          <w:szCs w:val="32"/>
        </w:rPr>
      </w:pPr>
      <w:r>
        <w:rPr>
          <w:rFonts w:hint="eastAsia" w:ascii="仿宋" w:hAnsi="仿宋" w:eastAsia="仿宋" w:cs="仿宋"/>
          <w:sz w:val="32"/>
          <w:szCs w:val="32"/>
        </w:rPr>
        <w:t xml:space="preserve">承担健康危险因素和健康素养监测工作,开展健康促进与健康教育效果评估相关工作。 </w:t>
      </w:r>
    </w:p>
    <w:p w14:paraId="7BD6C301">
      <w:pPr>
        <w:widowControl/>
        <w:numPr>
          <w:ilvl w:val="0"/>
          <w:numId w:val="1"/>
        </w:numPr>
        <w:spacing w:before="240" w:after="240"/>
        <w:ind w:firstLine="430"/>
        <w:rPr>
          <w:rFonts w:hint="eastAsia" w:ascii="仿宋" w:hAnsi="仿宋" w:eastAsia="仿宋" w:cs="仿宋"/>
          <w:kern w:val="0"/>
          <w:sz w:val="32"/>
          <w:szCs w:val="32"/>
        </w:rPr>
      </w:pPr>
      <w:r>
        <w:rPr>
          <w:rFonts w:hint="eastAsia" w:ascii="仿宋" w:hAnsi="仿宋" w:eastAsia="仿宋" w:cs="仿宋"/>
          <w:sz w:val="32"/>
          <w:szCs w:val="32"/>
        </w:rPr>
        <w:t>承担乌海市卫生健康宣传教育资料的策划、开发、制作、科普等工作。</w:t>
      </w:r>
    </w:p>
    <w:p w14:paraId="05D61564">
      <w:pPr>
        <w:widowControl/>
        <w:numPr>
          <w:ilvl w:val="0"/>
          <w:numId w:val="1"/>
        </w:numPr>
        <w:spacing w:before="240" w:after="240"/>
        <w:ind w:left="0" w:leftChars="0" w:firstLine="430" w:firstLineChars="0"/>
        <w:rPr>
          <w:rFonts w:hint="eastAsia" w:ascii="仿宋" w:hAnsi="仿宋" w:eastAsia="仿宋" w:cs="仿宋"/>
          <w:sz w:val="32"/>
          <w:szCs w:val="32"/>
        </w:rPr>
      </w:pPr>
      <w:r>
        <w:rPr>
          <w:rFonts w:hint="eastAsia" w:ascii="仿宋" w:hAnsi="仿宋" w:eastAsia="仿宋" w:cs="仿宋"/>
          <w:sz w:val="32"/>
          <w:szCs w:val="32"/>
        </w:rPr>
        <w:t>承担卫生健康融媒体工作的研究策划并组织实施相关工作。</w:t>
      </w:r>
    </w:p>
    <w:p w14:paraId="06E76DEF">
      <w:pPr>
        <w:widowControl/>
        <w:numPr>
          <w:ilvl w:val="0"/>
          <w:numId w:val="1"/>
        </w:numPr>
        <w:spacing w:before="240" w:after="240"/>
        <w:ind w:left="0" w:leftChars="0" w:firstLine="430" w:firstLineChars="0"/>
        <w:rPr>
          <w:rFonts w:hint="eastAsia" w:ascii="仿宋" w:hAnsi="仿宋" w:eastAsia="仿宋" w:cs="仿宋"/>
          <w:sz w:val="32"/>
          <w:szCs w:val="32"/>
        </w:rPr>
      </w:pPr>
      <w:r>
        <w:rPr>
          <w:rFonts w:hint="eastAsia" w:ascii="仿宋" w:hAnsi="仿宋" w:eastAsia="仿宋" w:cs="仿宋"/>
          <w:sz w:val="32"/>
          <w:szCs w:val="32"/>
        </w:rPr>
        <w:t>承担公益性卫生健康传播项目的策划并组织实施相关工作。</w:t>
      </w:r>
    </w:p>
    <w:p w14:paraId="423CBA3D">
      <w:pPr>
        <w:widowControl/>
        <w:numPr>
          <w:ilvl w:val="0"/>
          <w:numId w:val="1"/>
        </w:numPr>
        <w:spacing w:before="240" w:after="240"/>
        <w:ind w:left="0" w:leftChars="0" w:firstLine="430" w:firstLineChars="0"/>
        <w:rPr>
          <w:rFonts w:hint="eastAsia" w:ascii="仿宋" w:hAnsi="仿宋" w:eastAsia="仿宋" w:cs="仿宋"/>
          <w:kern w:val="0"/>
          <w:sz w:val="32"/>
          <w:szCs w:val="32"/>
        </w:rPr>
      </w:pPr>
      <w:r>
        <w:rPr>
          <w:rFonts w:hint="eastAsia" w:ascii="仿宋" w:hAnsi="仿宋" w:eastAsia="仿宋" w:cs="仿宋"/>
          <w:sz w:val="32"/>
          <w:szCs w:val="32"/>
        </w:rPr>
        <w:t>承担健康促进和健康教育理论政策的调查研究相关工作。</w:t>
      </w:r>
    </w:p>
    <w:p w14:paraId="4E703027">
      <w:pPr>
        <w:widowControl/>
        <w:numPr>
          <w:ilvl w:val="0"/>
          <w:numId w:val="1"/>
        </w:numPr>
        <w:spacing w:before="240" w:after="240"/>
        <w:ind w:left="0" w:leftChars="0" w:firstLine="430" w:firstLineChars="0"/>
        <w:rPr>
          <w:rFonts w:hint="eastAsia" w:ascii="仿宋" w:hAnsi="仿宋" w:eastAsia="仿宋" w:cs="仿宋"/>
          <w:sz w:val="32"/>
          <w:szCs w:val="32"/>
        </w:rPr>
      </w:pPr>
      <w:r>
        <w:rPr>
          <w:rFonts w:hint="eastAsia" w:ascii="仿宋" w:hAnsi="仿宋" w:eastAsia="仿宋" w:cs="仿宋"/>
          <w:sz w:val="32"/>
          <w:szCs w:val="32"/>
        </w:rPr>
        <w:t>参与家庭发展和婴幼儿照护服务相关工作。</w:t>
      </w:r>
    </w:p>
    <w:p w14:paraId="1B30DBAB">
      <w:pPr>
        <w:widowControl/>
        <w:numPr>
          <w:ilvl w:val="0"/>
          <w:numId w:val="0"/>
        </w:numPr>
        <w:spacing w:before="240" w:after="240"/>
        <w:ind w:left="430" w:leftChars="0"/>
        <w:rPr>
          <w:rFonts w:eastAsia="Times New Roman"/>
          <w:kern w:val="0"/>
          <w:sz w:val="24"/>
        </w:rPr>
      </w:pPr>
      <w:r>
        <w:rPr>
          <w:rFonts w:hint="eastAsia" w:ascii="仿宋" w:hAnsi="仿宋" w:eastAsia="仿宋" w:cs="仿宋"/>
          <w:sz w:val="32"/>
          <w:szCs w:val="32"/>
          <w:lang w:val="en-US" w:eastAsia="zh-CN"/>
        </w:rPr>
        <w:t>7.</w:t>
      </w:r>
      <w:r>
        <w:rPr>
          <w:rFonts w:hint="eastAsia" w:ascii="仿宋" w:hAnsi="仿宋" w:eastAsia="仿宋" w:cs="仿宋"/>
          <w:sz w:val="32"/>
          <w:szCs w:val="32"/>
        </w:rPr>
        <w:t>完成市卫生健康委员会交办的其他任务。</w:t>
      </w:r>
    </w:p>
    <w:p w14:paraId="46DF5AB3">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二</w:t>
      </w:r>
      <w:r>
        <w:rPr>
          <w:rFonts w:hint="eastAsia" w:ascii="黑体" w:hAnsi="黑体" w:eastAsia="黑体" w:cs="黑体"/>
          <w:b/>
          <w:bCs/>
          <w:kern w:val="0"/>
          <w:sz w:val="32"/>
          <w:szCs w:val="32"/>
          <w:lang w:eastAsia="zh-CN"/>
        </w:rPr>
        <w:t>、</w:t>
      </w:r>
      <w:r>
        <w:rPr>
          <w:rFonts w:ascii="黑体" w:hAnsi="黑体" w:eastAsia="黑体" w:cs="黑体"/>
          <w:b/>
          <w:bCs/>
          <w:kern w:val="0"/>
          <w:sz w:val="32"/>
          <w:szCs w:val="32"/>
        </w:rPr>
        <w:t>单位机构设置及决算单位构成情况</w:t>
      </w:r>
    </w:p>
    <w:p w14:paraId="09A318AE">
      <w:pPr>
        <w:widowControl/>
        <w:spacing w:before="240" w:after="240"/>
        <w:ind w:firstLine="411"/>
        <w:rPr>
          <w:rFonts w:hint="eastAsia" w:ascii="仿宋" w:hAnsi="仿宋" w:eastAsia="仿宋" w:cs="仿宋"/>
          <w:sz w:val="32"/>
          <w:szCs w:val="32"/>
        </w:rPr>
      </w:pPr>
      <w:r>
        <w:rPr>
          <w:rFonts w:hint="eastAsia" w:ascii="仿宋" w:hAnsi="仿宋" w:eastAsia="仿宋" w:cs="仿宋"/>
          <w:sz w:val="32"/>
          <w:szCs w:val="32"/>
        </w:rPr>
        <w:t>1.根据单位职责分工，本单位内设机构包括办公室、信息管理科、健康教育科。本单位无下属单位。</w:t>
      </w:r>
    </w:p>
    <w:p w14:paraId="35B6EE10">
      <w:pPr>
        <w:widowControl/>
        <w:spacing w:before="240" w:after="240"/>
        <w:ind w:firstLine="411"/>
        <w:rPr>
          <w:rFonts w:hint="eastAsia" w:ascii="仿宋" w:hAnsi="仿宋" w:eastAsia="仿宋" w:cs="仿宋"/>
          <w:kern w:val="0"/>
          <w:sz w:val="32"/>
          <w:szCs w:val="32"/>
        </w:rPr>
      </w:pPr>
      <w:r>
        <w:rPr>
          <w:rFonts w:hint="eastAsia" w:ascii="仿宋" w:hAnsi="仿宋" w:eastAsia="仿宋" w:cs="仿宋"/>
          <w:sz w:val="32"/>
          <w:szCs w:val="32"/>
        </w:rPr>
        <w:t>2.从决算单位构成看，纳入本财政汇总决算编制范围的预算单位共计 1 家。详细情况见表：</w:t>
      </w:r>
    </w:p>
    <w:tbl>
      <w:tblPr>
        <w:tblStyle w:val="18"/>
        <w:tblW w:w="10399" w:type="dxa"/>
        <w:jc w:val="center"/>
        <w:tblCellSpacing w:w="15" w:type="dxa"/>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Layout w:type="fixed"/>
        <w:tblCellMar>
          <w:top w:w="15" w:type="dxa"/>
          <w:left w:w="15" w:type="dxa"/>
          <w:bottom w:w="15" w:type="dxa"/>
          <w:right w:w="15" w:type="dxa"/>
        </w:tblCellMar>
      </w:tblPr>
      <w:tblGrid>
        <w:gridCol w:w="1212"/>
        <w:gridCol w:w="6047"/>
        <w:gridCol w:w="3140"/>
      </w:tblGrid>
      <w:tr w14:paraId="48D926A9">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72" w:hRule="atLeast"/>
          <w:tblHeader/>
          <w:tblCellSpacing w:w="15" w:type="dxa"/>
          <w:jc w:val="center"/>
        </w:trPr>
        <w:tc>
          <w:tcPr>
            <w:tcW w:w="116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2E950A7B">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序号</w:t>
            </w:r>
          </w:p>
        </w:tc>
        <w:tc>
          <w:tcPr>
            <w:tcW w:w="601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2F074897">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单位名称</w:t>
            </w:r>
          </w:p>
        </w:tc>
        <w:tc>
          <w:tcPr>
            <w:tcW w:w="3095"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47488DF">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单位性质</w:t>
            </w:r>
          </w:p>
        </w:tc>
      </w:tr>
      <w:tr w14:paraId="77D2B249">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373" w:hRule="atLeast"/>
          <w:tblCellSpacing w:w="15" w:type="dxa"/>
          <w:jc w:val="center"/>
        </w:trPr>
        <w:tc>
          <w:tcPr>
            <w:tcW w:w="116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54E9CAA5">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601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42277633">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乌海市卫生健康宣传教育中心</w:t>
            </w:r>
          </w:p>
        </w:tc>
        <w:tc>
          <w:tcPr>
            <w:tcW w:w="3095"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55D638EC">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公益一类事业单位</w:t>
            </w:r>
          </w:p>
        </w:tc>
      </w:tr>
    </w:tbl>
    <w:p w14:paraId="040B573B">
      <w:pPr>
        <w:widowControl/>
        <w:spacing w:before="240" w:after="240"/>
        <w:jc w:val="left"/>
        <w:rPr>
          <w:rFonts w:eastAsia="Times New Roman"/>
          <w:kern w:val="0"/>
          <w:sz w:val="32"/>
          <w:szCs w:val="32"/>
        </w:rPr>
      </w:pPr>
      <w:r>
        <w:rPr>
          <w:rFonts w:ascii="仿宋_GB2312" w:hAnsi="仿宋_GB2312" w:eastAsia="仿宋_GB2312" w:cs="仿宋_GB2312"/>
          <w:color w:val="0E00FE"/>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三、2024年度单位主要工作完成情况</w:t>
      </w:r>
    </w:p>
    <w:p w14:paraId="26BB1DCE">
      <w:pPr>
        <w:widowControl/>
        <w:spacing w:before="240" w:after="240"/>
        <w:jc w:val="left"/>
        <w:rPr>
          <w:rFonts w:eastAsia="Times New Roman"/>
          <w:kern w:val="0"/>
          <w:sz w:val="24"/>
        </w:rPr>
      </w:pPr>
      <w:r>
        <w:rPr>
          <w:rFonts w:ascii="仿宋_GB2312" w:hAnsi="仿宋_GB2312" w:eastAsia="仿宋_GB2312" w:cs="仿宋_GB2312"/>
          <w:kern w:val="0"/>
          <w:sz w:val="27"/>
          <w:szCs w:val="27"/>
        </w:rPr>
        <w:t xml:space="preserve">  </w:t>
      </w:r>
      <w:r>
        <w:rPr>
          <w:rFonts w:hint="eastAsia" w:ascii="仿宋_GB2312" w:hAnsi="仿宋_GB2312" w:eastAsia="仿宋_GB2312" w:cs="仿宋_GB2312"/>
          <w:kern w:val="0"/>
          <w:sz w:val="27"/>
          <w:szCs w:val="27"/>
          <w:lang w:val="en-US" w:eastAsia="zh-CN"/>
        </w:rPr>
        <w:t xml:space="preserve"> </w:t>
      </w:r>
      <w:r>
        <w:rPr>
          <w:rFonts w:ascii="仿宋_GB2312" w:hAnsi="仿宋_GB2312" w:eastAsia="仿宋_GB2312" w:cs="仿宋_GB2312"/>
          <w:kern w:val="0"/>
          <w:sz w:val="27"/>
          <w:szCs w:val="27"/>
        </w:rPr>
        <w:t> </w:t>
      </w:r>
      <w:r>
        <w:rPr>
          <w:rFonts w:hint="eastAsia" w:ascii="仿宋" w:hAnsi="仿宋" w:eastAsia="仿宋" w:cs="仿宋"/>
          <w:sz w:val="32"/>
          <w:szCs w:val="32"/>
        </w:rPr>
        <w:t>（一）积极协调基层落实公共卫生服务健康教育工作（二）高质量完成居民健康素养监测项目工作（三）积极开展贫困家庭健康促进与教育工作（四）加大各类人群健康宣传教育工作力度（五）认真开展公众场所等特殊人群健康促进与教育工作（六）做好卫生专业技术资格考试和护士执业资格考试考务工作</w:t>
      </w:r>
      <w:r>
        <w:rPr>
          <w:rFonts w:hint="eastAsia" w:ascii="仿宋" w:hAnsi="仿宋" w:eastAsia="仿宋" w:cs="仿宋"/>
          <w:sz w:val="32"/>
          <w:szCs w:val="32"/>
          <w:lang w:eastAsia="zh-CN"/>
        </w:rPr>
        <w:t>。</w:t>
      </w:r>
    </w:p>
    <w:p w14:paraId="47E40AB7">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第二部分 单位决算情况说明</w:t>
      </w:r>
    </w:p>
    <w:p w14:paraId="3827163F">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一、收入支出决算总体情况说明</w:t>
      </w:r>
    </w:p>
    <w:p w14:paraId="15E5A73F">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 xml:space="preserve"> </w:t>
      </w:r>
      <w:r>
        <w:rPr>
          <w:rFonts w:hint="eastAsia" w:ascii="仿宋" w:hAnsi="仿宋" w:eastAsia="仿宋" w:cs="仿宋"/>
          <w:color w:val="000000"/>
          <w:kern w:val="0"/>
          <w:sz w:val="32"/>
          <w:szCs w:val="32"/>
        </w:rPr>
        <w:t>乌海市卫生健康宣传教育中心 2024年度收入、支出决算总计均为</w:t>
      </w:r>
      <w:r>
        <w:rPr>
          <w:rFonts w:hint="eastAsia" w:ascii="仿宋" w:hAnsi="仿宋" w:eastAsia="仿宋" w:cs="仿宋"/>
          <w:color w:val="000000"/>
          <w:kern w:val="0"/>
          <w:sz w:val="32"/>
          <w:szCs w:val="32"/>
          <w:u w:val="single" w:color="000000"/>
        </w:rPr>
        <w:t xml:space="preserve"> 156.86</w:t>
      </w:r>
      <w:r>
        <w:rPr>
          <w:rFonts w:hint="eastAsia" w:ascii="仿宋" w:hAnsi="仿宋" w:eastAsia="仿宋" w:cs="仿宋"/>
          <w:color w:val="000000"/>
          <w:kern w:val="0"/>
          <w:sz w:val="32"/>
          <w:szCs w:val="32"/>
        </w:rPr>
        <w:t>万元。与年初预算相比，收、支总计各减少</w:t>
      </w:r>
      <w:r>
        <w:rPr>
          <w:rFonts w:hint="eastAsia" w:ascii="仿宋" w:hAnsi="仿宋" w:eastAsia="仿宋" w:cs="仿宋"/>
          <w:color w:val="000000"/>
          <w:kern w:val="0"/>
          <w:sz w:val="32"/>
          <w:szCs w:val="32"/>
          <w:u w:val="single" w:color="000000"/>
        </w:rPr>
        <w:t>13.22</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7.78</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我单位搬迁至市政府大楼水电费等费用节约。</w:t>
      </w:r>
      <w:r>
        <w:rPr>
          <w:rFonts w:hint="eastAsia" w:ascii="仿宋" w:hAnsi="仿宋" w:eastAsia="仿宋" w:cs="仿宋"/>
          <w:color w:val="000000"/>
          <w:kern w:val="0"/>
          <w:sz w:val="32"/>
          <w:szCs w:val="32"/>
        </w:rPr>
        <w:t>；与上年决算相比，收、支总计各减少</w:t>
      </w:r>
      <w:r>
        <w:rPr>
          <w:rFonts w:hint="eastAsia" w:ascii="仿宋" w:hAnsi="仿宋" w:eastAsia="仿宋" w:cs="仿宋"/>
          <w:color w:val="000000"/>
          <w:kern w:val="0"/>
          <w:sz w:val="32"/>
          <w:szCs w:val="32"/>
          <w:u w:val="single" w:color="000000"/>
        </w:rPr>
        <w:t>58.00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26.99</w:t>
      </w:r>
      <w:r>
        <w:rPr>
          <w:rFonts w:hint="eastAsia" w:ascii="仿宋" w:hAnsi="仿宋" w:eastAsia="仿宋" w:cs="仿宋"/>
          <w:color w:val="000000"/>
          <w:kern w:val="0"/>
          <w:sz w:val="32"/>
          <w:szCs w:val="32"/>
        </w:rPr>
        <w:t>%。其中：</w:t>
      </w:r>
    </w:p>
    <w:p w14:paraId="03ECD96B">
      <w:pPr>
        <w:widowControl/>
        <w:spacing w:before="240" w:after="240"/>
        <w:jc w:val="left"/>
        <w:rPr>
          <w:rFonts w:hint="eastAsia" w:ascii="楷体" w:hAnsi="楷体" w:eastAsia="楷体" w:cs="楷体"/>
          <w:kern w:val="0"/>
          <w:sz w:val="32"/>
          <w:szCs w:val="32"/>
        </w:rPr>
      </w:pPr>
      <w:r>
        <w:rPr>
          <w:rFonts w:hint="eastAsia" w:ascii="楷体" w:hAnsi="楷体" w:eastAsia="楷体" w:cs="楷体"/>
          <w:b/>
          <w:bCs/>
          <w:color w:val="000000"/>
          <w:kern w:val="0"/>
          <w:sz w:val="32"/>
          <w:szCs w:val="32"/>
        </w:rPr>
        <w:t>    （一）收入决算总计</w:t>
      </w:r>
      <w:r>
        <w:rPr>
          <w:rFonts w:hint="eastAsia" w:ascii="楷体" w:hAnsi="楷体" w:eastAsia="楷体" w:cs="楷体"/>
          <w:b/>
          <w:bCs/>
          <w:color w:val="000000"/>
          <w:kern w:val="0"/>
          <w:sz w:val="32"/>
          <w:szCs w:val="32"/>
          <w:u w:val="single" w:color="000000"/>
        </w:rPr>
        <w:t> 156.86</w:t>
      </w:r>
      <w:r>
        <w:rPr>
          <w:rFonts w:hint="eastAsia" w:ascii="楷体" w:hAnsi="楷体" w:eastAsia="楷体" w:cs="楷体"/>
          <w:b/>
          <w:bCs/>
          <w:color w:val="000000"/>
          <w:kern w:val="0"/>
          <w:sz w:val="32"/>
          <w:szCs w:val="32"/>
        </w:rPr>
        <w:t>万元。包括：</w:t>
      </w:r>
    </w:p>
    <w:p w14:paraId="12360316">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1.本年收入决算合计</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57.87</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26.95</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我单位健康教育项目经费减少10万元、人员较去年减少</w:t>
      </w:r>
      <w:r>
        <w:rPr>
          <w:rFonts w:hint="eastAsia" w:ascii="仿宋" w:hAnsi="仿宋" w:eastAsia="仿宋" w:cs="仿宋"/>
          <w:color w:val="000000"/>
          <w:kern w:val="0"/>
          <w:sz w:val="32"/>
          <w:szCs w:val="32"/>
        </w:rPr>
        <w:t>。</w:t>
      </w:r>
    </w:p>
    <w:p w14:paraId="509F35E8">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2.使用非财政拨款结余（含专用结余）</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万元。与上年决算相比，增加</w:t>
      </w:r>
      <w:r>
        <w:rPr>
          <w:rFonts w:hint="eastAsia" w:ascii="仿宋" w:hAnsi="仿宋" w:eastAsia="仿宋" w:cs="仿宋"/>
          <w:color w:val="000000"/>
          <w:kern w:val="0"/>
          <w:sz w:val="32"/>
          <w:szCs w:val="32"/>
          <w:u w:val="single" w:color="000000"/>
        </w:rPr>
        <w:t>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我单位不存在此项内容</w:t>
      </w:r>
      <w:r>
        <w:rPr>
          <w:rFonts w:hint="eastAsia" w:ascii="仿宋" w:hAnsi="仿宋" w:eastAsia="仿宋" w:cs="仿宋"/>
          <w:color w:val="000000"/>
          <w:kern w:val="0"/>
          <w:sz w:val="32"/>
          <w:szCs w:val="32"/>
        </w:rPr>
        <w:t>。</w:t>
      </w:r>
    </w:p>
    <w:p w14:paraId="31481F8E">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3.年初结转和结余</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0.13</w:t>
      </w:r>
      <w:r>
        <w:rPr>
          <w:rFonts w:hint="eastAsia" w:ascii="仿宋" w:hAnsi="仿宋" w:eastAsia="仿宋" w:cs="仿宋"/>
          <w:color w:val="000000"/>
          <w:kern w:val="0"/>
          <w:sz w:val="32"/>
          <w:szCs w:val="32"/>
        </w:rPr>
        <w:t>万元，增下降</w:t>
      </w:r>
      <w:r>
        <w:rPr>
          <w:rFonts w:hint="eastAsia" w:ascii="仿宋" w:hAnsi="仿宋" w:eastAsia="仿宋" w:cs="仿宋"/>
          <w:color w:val="000000"/>
          <w:kern w:val="0"/>
          <w:sz w:val="32"/>
          <w:szCs w:val="32"/>
          <w:u w:val="single" w:color="000000"/>
        </w:rPr>
        <w:t>100.00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我单位不存在此项内容</w:t>
      </w:r>
      <w:r>
        <w:rPr>
          <w:rFonts w:hint="eastAsia" w:ascii="仿宋" w:hAnsi="仿宋" w:eastAsia="仿宋" w:cs="仿宋"/>
          <w:color w:val="000000"/>
          <w:kern w:val="0"/>
          <w:sz w:val="32"/>
          <w:szCs w:val="32"/>
        </w:rPr>
        <w:t>。</w:t>
      </w:r>
    </w:p>
    <w:p w14:paraId="77919473">
      <w:pPr>
        <w:widowControl/>
        <w:spacing w:before="240" w:after="240"/>
        <w:jc w:val="left"/>
        <w:rPr>
          <w:rFonts w:eastAsia="Times New Roman"/>
          <w:kern w:val="0"/>
          <w:sz w:val="24"/>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（二）支出决算总计</w:t>
      </w:r>
      <w:r>
        <w:rPr>
          <w:rFonts w:hint="eastAsia" w:ascii="楷体" w:hAnsi="楷体" w:eastAsia="楷体" w:cs="楷体"/>
          <w:b/>
          <w:bCs/>
          <w:color w:val="000000"/>
          <w:kern w:val="0"/>
          <w:sz w:val="32"/>
          <w:szCs w:val="32"/>
          <w:u w:val="single" w:color="000000"/>
        </w:rPr>
        <w:t> 156.86</w:t>
      </w:r>
      <w:r>
        <w:rPr>
          <w:rFonts w:hint="eastAsia" w:ascii="楷体" w:hAnsi="楷体" w:eastAsia="楷体" w:cs="楷体"/>
          <w:b/>
          <w:bCs/>
          <w:color w:val="000000"/>
          <w:kern w:val="0"/>
          <w:sz w:val="32"/>
          <w:szCs w:val="32"/>
        </w:rPr>
        <w:t>万元。包括：</w:t>
      </w:r>
    </w:p>
    <w:p w14:paraId="5929526A">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1.本年支出决算合计</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58.00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26.99</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我单位健康教育项目经费减少10万元、人员较去年减少</w:t>
      </w:r>
      <w:r>
        <w:rPr>
          <w:rFonts w:hint="eastAsia" w:ascii="仿宋" w:hAnsi="仿宋" w:eastAsia="仿宋" w:cs="仿宋"/>
          <w:color w:val="000000"/>
          <w:kern w:val="0"/>
          <w:sz w:val="32"/>
          <w:szCs w:val="32"/>
        </w:rPr>
        <w:t>。</w:t>
      </w:r>
    </w:p>
    <w:p w14:paraId="1D7CC9BE">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2.结余分配</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万元。结余分配事项：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。与上年决算相比，增加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我单位不存在此项内容</w:t>
      </w:r>
      <w:r>
        <w:rPr>
          <w:rFonts w:hint="eastAsia" w:ascii="仿宋" w:hAnsi="仿宋" w:eastAsia="仿宋" w:cs="仿宋"/>
          <w:color w:val="000000"/>
          <w:kern w:val="0"/>
          <w:sz w:val="32"/>
          <w:szCs w:val="32"/>
        </w:rPr>
        <w:t>。</w:t>
      </w:r>
    </w:p>
    <w:p w14:paraId="3AF5B51F">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3.年末结转和结余</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万元。结转和结余事项：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。与上年决算相比，增加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我单位不存在此项内容</w:t>
      </w:r>
      <w:r>
        <w:rPr>
          <w:rFonts w:hint="eastAsia" w:ascii="仿宋" w:hAnsi="仿宋" w:eastAsia="仿宋" w:cs="仿宋"/>
          <w:color w:val="000000"/>
          <w:kern w:val="0"/>
          <w:sz w:val="32"/>
          <w:szCs w:val="32"/>
        </w:rPr>
        <w:t>。</w:t>
      </w:r>
    </w:p>
    <w:p w14:paraId="150B6A08">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二、收入决算情况说明</w:t>
      </w:r>
    </w:p>
    <w:p w14:paraId="590183A5">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乌海市卫生健康宣传教育中心 2024年度本年收入决算合计</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万元，其中：</w:t>
      </w:r>
    </w:p>
    <w:p w14:paraId="63C2282E">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本年一般公共预算财政拨款收入</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100.00</w:t>
      </w:r>
      <w:r>
        <w:rPr>
          <w:rFonts w:hint="eastAsia" w:ascii="仿宋" w:hAnsi="仿宋" w:eastAsia="仿宋" w:cs="仿宋"/>
          <w:color w:val="000000"/>
          <w:kern w:val="0"/>
          <w:sz w:val="32"/>
          <w:szCs w:val="32"/>
        </w:rPr>
        <w:t>%；</w:t>
      </w:r>
    </w:p>
    <w:p w14:paraId="5A2B93A2">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本年政府性基金预算财政拨款收入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5527287D">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本年国有资本经营预算财政拨款收入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446A895B">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本年上级补助收入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55256929">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本年事业收入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5E432EA6">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本年经营收入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76DA553C">
      <w:pPr>
        <w:widowControl/>
        <w:spacing w:before="240" w:after="240"/>
        <w:rPr>
          <w:rFonts w:eastAsia="Times New Roman"/>
          <w:kern w:val="0"/>
          <w:sz w:val="24"/>
        </w:rPr>
      </w:pPr>
      <w:r>
        <w:rPr>
          <w:rFonts w:hint="eastAsia" w:ascii="仿宋" w:hAnsi="仿宋" w:eastAsia="仿宋" w:cs="仿宋"/>
          <w:color w:val="000000"/>
          <w:kern w:val="0"/>
          <w:sz w:val="32"/>
          <w:szCs w:val="32"/>
        </w:rPr>
        <w:t>    本年附属单位上缴收入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ascii="仿宋_GB2312" w:hAnsi="仿宋_GB2312" w:eastAsia="仿宋_GB2312" w:cs="仿宋_GB2312"/>
          <w:color w:val="000000"/>
          <w:kern w:val="0"/>
          <w:sz w:val="27"/>
          <w:szCs w:val="27"/>
        </w:rPr>
        <w:t>%；</w:t>
      </w:r>
    </w:p>
    <w:p w14:paraId="05F9B38E">
      <w:pPr>
        <w:widowControl/>
        <w:spacing w:before="240" w:after="240"/>
        <w:rPr>
          <w:rFonts w:eastAsia="Times New Roman"/>
          <w:kern w:val="0"/>
          <w:sz w:val="24"/>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本年其他收入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16BE0477">
      <w:pPr>
        <w:widowControl/>
        <w:spacing w:before="240" w:after="240"/>
        <w:jc w:val="center"/>
        <w:rPr>
          <w:rFonts w:eastAsia="Times New Roman"/>
          <w:kern w:val="0"/>
          <w:sz w:val="24"/>
        </w:rPr>
      </w:pPr>
      <w:r>
        <w:rPr>
          <w:rFonts w:eastAsia="Times New Roman"/>
          <w:kern w:val="0"/>
          <w:sz w:val="24"/>
        </w:rPr>
        <w:drawing>
          <wp:inline distT="0" distB="0" distL="114300" distR="114300">
            <wp:extent cx="4442460" cy="2776220"/>
            <wp:effectExtent l="0" t="0" r="7620" b="1270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4442460" cy="2776220"/>
                    </a:xfrm>
                    <a:prstGeom prst="rect">
                      <a:avLst/>
                    </a:prstGeom>
                    <a:noFill/>
                    <a:ln>
                      <a:noFill/>
                    </a:ln>
                  </pic:spPr>
                </pic:pic>
              </a:graphicData>
            </a:graphic>
          </wp:inline>
        </w:drawing>
      </w:r>
      <w:r>
        <w:rPr>
          <w:rFonts w:eastAsia="Times New Roman"/>
          <w:kern w:val="0"/>
          <w:sz w:val="24"/>
        </w:rPr>
        <w:t xml:space="preserve">  </w:t>
      </w:r>
    </w:p>
    <w:p w14:paraId="47535396">
      <w:pPr>
        <w:widowControl/>
        <w:spacing w:before="240" w:after="240"/>
        <w:jc w:val="center"/>
        <w:rPr>
          <w:rFonts w:eastAsia="Times New Roman"/>
          <w:kern w:val="0"/>
          <w:sz w:val="24"/>
        </w:rPr>
      </w:pPr>
      <w:r>
        <w:rPr>
          <w:rFonts w:ascii="仿宋_GB2312" w:hAnsi="仿宋_GB2312" w:eastAsia="仿宋_GB2312" w:cs="仿宋_GB2312"/>
          <w:kern w:val="0"/>
          <w:sz w:val="27"/>
          <w:szCs w:val="27"/>
        </w:rPr>
        <w:t>图</w:t>
      </w:r>
      <w:r>
        <w:rPr>
          <w:rFonts w:ascii="times_new_roman" w:hAnsi="times_new_roman" w:eastAsia="times_new_roman" w:cs="times_new_roman"/>
          <w:kern w:val="0"/>
          <w:sz w:val="27"/>
          <w:szCs w:val="27"/>
        </w:rPr>
        <w:t>1</w:t>
      </w:r>
      <w:r>
        <w:rPr>
          <w:rFonts w:ascii="仿宋_GB2312" w:hAnsi="仿宋_GB2312" w:eastAsia="仿宋_GB2312" w:cs="仿宋_GB2312"/>
          <w:kern w:val="0"/>
          <w:sz w:val="27"/>
          <w:szCs w:val="27"/>
        </w:rPr>
        <w:t>.收入决算图</w:t>
      </w:r>
    </w:p>
    <w:p w14:paraId="2369A431">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三、支出决算情况说明</w:t>
      </w:r>
    </w:p>
    <w:p w14:paraId="6CF4291F">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乌海市卫生健康宣传教育中心 2024年度本年支出决算合计</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万元，其中：</w:t>
      </w:r>
    </w:p>
    <w:p w14:paraId="5081F936">
      <w:pPr>
        <w:widowControl/>
        <w:spacing w:before="240" w:after="240"/>
        <w:rPr>
          <w:rFonts w:hint="eastAsia" w:ascii="仿宋" w:hAnsi="仿宋" w:eastAsia="仿宋" w:cs="仿宋"/>
          <w:kern w:val="0"/>
          <w:sz w:val="32"/>
          <w:szCs w:val="32"/>
          <w:highlight w:val="yellow"/>
          <w:lang w:eastAsia="zh-CN"/>
        </w:rPr>
      </w:pPr>
      <w:r>
        <w:rPr>
          <w:rFonts w:hint="eastAsia" w:ascii="仿宋" w:hAnsi="仿宋" w:eastAsia="仿宋" w:cs="仿宋"/>
          <w:color w:val="000000"/>
          <w:kern w:val="0"/>
          <w:sz w:val="32"/>
          <w:szCs w:val="32"/>
        </w:rPr>
        <w:t>    本年基本支出</w:t>
      </w:r>
      <w:r>
        <w:rPr>
          <w:rFonts w:hint="eastAsia" w:ascii="仿宋" w:hAnsi="仿宋" w:eastAsia="仿宋" w:cs="仿宋"/>
          <w:color w:val="000000"/>
          <w:kern w:val="0"/>
          <w:sz w:val="32"/>
          <w:szCs w:val="32"/>
          <w:u w:val="single" w:color="000000"/>
        </w:rPr>
        <w:t> 152.33</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97.11</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其中，公用经费</w:t>
      </w:r>
      <w:r>
        <w:rPr>
          <w:rFonts w:hint="eastAsia" w:ascii="仿宋" w:hAnsi="仿宋" w:eastAsia="仿宋" w:cs="仿宋"/>
          <w:color w:val="000000"/>
          <w:kern w:val="0"/>
          <w:sz w:val="32"/>
          <w:szCs w:val="32"/>
          <w:u w:val="single"/>
          <w:lang w:val="en-US" w:eastAsia="zh-CN"/>
        </w:rPr>
        <w:t>8.19</w:t>
      </w:r>
      <w:r>
        <w:rPr>
          <w:rFonts w:hint="eastAsia" w:ascii="仿宋" w:hAnsi="仿宋" w:eastAsia="仿宋" w:cs="仿宋"/>
          <w:color w:val="000000"/>
          <w:kern w:val="0"/>
          <w:sz w:val="32"/>
          <w:szCs w:val="32"/>
          <w:lang w:val="en-US" w:eastAsia="zh-CN"/>
        </w:rPr>
        <w:t>万元，比上年决算相比，减少</w:t>
      </w:r>
      <w:r>
        <w:rPr>
          <w:rFonts w:hint="eastAsia" w:ascii="仿宋" w:hAnsi="仿宋" w:eastAsia="仿宋" w:cs="仿宋"/>
          <w:color w:val="000000"/>
          <w:kern w:val="0"/>
          <w:sz w:val="32"/>
          <w:szCs w:val="32"/>
          <w:u w:val="single"/>
          <w:lang w:val="en-US" w:eastAsia="zh-CN"/>
        </w:rPr>
        <w:t>1.89</w:t>
      </w:r>
      <w:r>
        <w:rPr>
          <w:rFonts w:hint="eastAsia" w:ascii="仿宋" w:hAnsi="仿宋" w:eastAsia="仿宋" w:cs="仿宋"/>
          <w:color w:val="000000"/>
          <w:kern w:val="0"/>
          <w:sz w:val="32"/>
          <w:szCs w:val="32"/>
          <w:lang w:val="en-US" w:eastAsia="zh-CN"/>
        </w:rPr>
        <w:t>万元，减少</w:t>
      </w:r>
      <w:r>
        <w:rPr>
          <w:rFonts w:hint="eastAsia" w:ascii="仿宋" w:hAnsi="仿宋" w:eastAsia="仿宋" w:cs="仿宋"/>
          <w:color w:val="000000"/>
          <w:kern w:val="0"/>
          <w:sz w:val="32"/>
          <w:szCs w:val="32"/>
          <w:u w:val="single"/>
          <w:lang w:val="en-US" w:eastAsia="zh-CN"/>
        </w:rPr>
        <w:t>18.78</w:t>
      </w:r>
      <w:r>
        <w:rPr>
          <w:rFonts w:hint="eastAsia" w:ascii="仿宋" w:hAnsi="仿宋" w:eastAsia="仿宋" w:cs="仿宋"/>
          <w:color w:val="000000"/>
          <w:kern w:val="0"/>
          <w:sz w:val="32"/>
          <w:szCs w:val="32"/>
          <w:lang w:val="en-US" w:eastAsia="zh-CN"/>
        </w:rPr>
        <w:t>%，变动原因：因我单位搬迁至政府大楼水电费等支出减少。</w:t>
      </w:r>
    </w:p>
    <w:p w14:paraId="4C18BD91">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本年项目支出</w:t>
      </w:r>
      <w:r>
        <w:rPr>
          <w:rFonts w:hint="eastAsia" w:ascii="仿宋" w:hAnsi="仿宋" w:eastAsia="仿宋" w:cs="仿宋"/>
          <w:color w:val="000000"/>
          <w:kern w:val="0"/>
          <w:sz w:val="32"/>
          <w:szCs w:val="32"/>
          <w:u w:val="single" w:color="000000"/>
        </w:rPr>
        <w:t> 4.53</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2.89</w:t>
      </w:r>
      <w:r>
        <w:rPr>
          <w:rFonts w:hint="eastAsia" w:ascii="仿宋" w:hAnsi="仿宋" w:eastAsia="仿宋" w:cs="仿宋"/>
          <w:color w:val="000000"/>
          <w:kern w:val="0"/>
          <w:sz w:val="32"/>
          <w:szCs w:val="32"/>
        </w:rPr>
        <w:t>%；</w:t>
      </w:r>
    </w:p>
    <w:p w14:paraId="72A35EC2">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本年上缴上级支出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4C54D8A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本年经营支出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2604C869">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本年对附属单位补助支出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3516ED92">
      <w:pPr>
        <w:widowControl/>
        <w:spacing w:before="240" w:after="240"/>
        <w:jc w:val="center"/>
        <w:rPr>
          <w:rFonts w:eastAsia="Times New Roman"/>
          <w:kern w:val="0"/>
          <w:sz w:val="24"/>
        </w:rPr>
      </w:pPr>
      <w:r>
        <w:rPr>
          <w:rFonts w:eastAsia="Times New Roman"/>
          <w:kern w:val="0"/>
          <w:sz w:val="24"/>
        </w:rPr>
        <w:drawing>
          <wp:inline distT="0" distB="0" distL="114300" distR="114300">
            <wp:extent cx="5229860" cy="3268345"/>
            <wp:effectExtent l="0" t="0" r="12700" b="8255"/>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5229860" cy="3268345"/>
                    </a:xfrm>
                    <a:prstGeom prst="rect">
                      <a:avLst/>
                    </a:prstGeom>
                    <a:noFill/>
                    <a:ln>
                      <a:noFill/>
                    </a:ln>
                  </pic:spPr>
                </pic:pic>
              </a:graphicData>
            </a:graphic>
          </wp:inline>
        </w:drawing>
      </w:r>
      <w:r>
        <w:rPr>
          <w:rFonts w:eastAsia="Times New Roman"/>
          <w:kern w:val="0"/>
          <w:sz w:val="24"/>
        </w:rPr>
        <w:t xml:space="preserve">  </w:t>
      </w:r>
    </w:p>
    <w:p w14:paraId="68CD9C54">
      <w:pPr>
        <w:widowControl/>
        <w:spacing w:before="240" w:after="240"/>
        <w:jc w:val="center"/>
        <w:rPr>
          <w:rFonts w:eastAsia="Times New Roman"/>
          <w:kern w:val="0"/>
          <w:sz w:val="24"/>
        </w:rPr>
      </w:pPr>
      <w:r>
        <w:rPr>
          <w:rFonts w:ascii="仿宋_GB2312" w:hAnsi="仿宋_GB2312" w:eastAsia="仿宋_GB2312" w:cs="仿宋_GB2312"/>
          <w:kern w:val="0"/>
          <w:sz w:val="27"/>
          <w:szCs w:val="27"/>
        </w:rPr>
        <w:t>图2.支出决算图</w:t>
      </w:r>
    </w:p>
    <w:p w14:paraId="5A6EBB3E">
      <w:pPr>
        <w:widowControl/>
        <w:spacing w:before="240" w:after="240"/>
        <w:jc w:val="left"/>
        <w:rPr>
          <w:rFonts w:eastAsia="Times New Roman"/>
          <w:kern w:val="0"/>
          <w:sz w:val="24"/>
        </w:rPr>
      </w:pPr>
    </w:p>
    <w:p w14:paraId="34526088">
      <w:pPr>
        <w:widowControl/>
        <w:spacing w:before="240" w:after="240"/>
        <w:jc w:val="left"/>
        <w:rPr>
          <w:rFonts w:eastAsia="Times New Roman"/>
          <w:kern w:val="0"/>
          <w:sz w:val="24"/>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四、财政拨款收入支出决算总体情况说明</w:t>
      </w:r>
    </w:p>
    <w:p w14:paraId="458A687D">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w:t>
      </w: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乌海市卫生健康宣传教育中心 2024年度财政拨款收入、支出决算总计均为</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万元，与年初预算相比，收、支总计各减少</w:t>
      </w:r>
      <w:r>
        <w:rPr>
          <w:rFonts w:hint="eastAsia" w:ascii="仿宋" w:hAnsi="仿宋" w:eastAsia="仿宋" w:cs="仿宋"/>
          <w:color w:val="000000"/>
          <w:kern w:val="0"/>
          <w:sz w:val="32"/>
          <w:szCs w:val="32"/>
          <w:u w:val="single" w:color="000000"/>
        </w:rPr>
        <w:t>13.22</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7.78</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我单位搬迁至市政府大楼水电费等费用节约</w:t>
      </w:r>
      <w:r>
        <w:rPr>
          <w:rFonts w:hint="eastAsia" w:ascii="仿宋" w:hAnsi="仿宋" w:eastAsia="仿宋" w:cs="仿宋"/>
          <w:color w:val="000000"/>
          <w:kern w:val="0"/>
          <w:sz w:val="32"/>
          <w:szCs w:val="32"/>
        </w:rPr>
        <w:t>；与上年决算相比，收、支总计各减少</w:t>
      </w:r>
      <w:r>
        <w:rPr>
          <w:rFonts w:hint="eastAsia" w:ascii="仿宋" w:hAnsi="仿宋" w:eastAsia="仿宋" w:cs="仿宋"/>
          <w:color w:val="000000"/>
          <w:kern w:val="0"/>
          <w:sz w:val="32"/>
          <w:szCs w:val="32"/>
          <w:u w:val="single" w:color="000000"/>
        </w:rPr>
        <w:t>58.00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26.99</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我单位今年减少健康教育项目，人员较去年减少。</w:t>
      </w:r>
      <w:r>
        <w:rPr>
          <w:rFonts w:hint="eastAsia" w:ascii="仿宋" w:hAnsi="仿宋" w:eastAsia="仿宋" w:cs="仿宋"/>
          <w:color w:val="000000"/>
          <w:kern w:val="0"/>
          <w:sz w:val="32"/>
          <w:szCs w:val="32"/>
        </w:rPr>
        <w:t>。</w:t>
      </w:r>
    </w:p>
    <w:p w14:paraId="5F8548BB">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五、一般公共预算财政拨款支出决算情况说明</w:t>
      </w:r>
    </w:p>
    <w:p w14:paraId="04E595B2">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乌海市卫生健康宣传教育中心 2024年度一般公共预算财政拨款支出决算</w:t>
      </w:r>
      <w:r>
        <w:rPr>
          <w:rFonts w:hint="eastAsia" w:ascii="仿宋" w:hAnsi="仿宋" w:eastAsia="仿宋" w:cs="仿宋"/>
          <w:color w:val="000000"/>
          <w:kern w:val="0"/>
          <w:sz w:val="32"/>
          <w:szCs w:val="32"/>
          <w:u w:val="single" w:color="000000"/>
        </w:rPr>
        <w:t> 156.86</w:t>
      </w:r>
      <w:r>
        <w:rPr>
          <w:rFonts w:hint="eastAsia" w:ascii="仿宋" w:hAnsi="仿宋" w:eastAsia="仿宋" w:cs="仿宋"/>
          <w:color w:val="000000"/>
          <w:kern w:val="0"/>
          <w:sz w:val="32"/>
          <w:szCs w:val="32"/>
        </w:rPr>
        <w:t>万元。与年初预算</w:t>
      </w:r>
      <w:r>
        <w:rPr>
          <w:rFonts w:hint="eastAsia" w:ascii="仿宋" w:hAnsi="仿宋" w:eastAsia="仿宋" w:cs="仿宋"/>
          <w:color w:val="000000"/>
          <w:kern w:val="0"/>
          <w:sz w:val="32"/>
          <w:szCs w:val="32"/>
          <w:u w:val="single" w:color="000000"/>
        </w:rPr>
        <w:t xml:space="preserve"> 170.09</w:t>
      </w:r>
      <w:r>
        <w:rPr>
          <w:rFonts w:hint="eastAsia" w:ascii="仿宋" w:hAnsi="仿宋" w:eastAsia="仿宋" w:cs="仿宋"/>
          <w:color w:val="000000"/>
          <w:kern w:val="0"/>
          <w:sz w:val="32"/>
          <w:szCs w:val="32"/>
        </w:rPr>
        <w:t>万元相比，完成年初预算的</w:t>
      </w:r>
      <w:r>
        <w:rPr>
          <w:rFonts w:hint="eastAsia" w:ascii="仿宋" w:hAnsi="仿宋" w:eastAsia="仿宋" w:cs="仿宋"/>
          <w:color w:val="000000"/>
          <w:kern w:val="0"/>
          <w:sz w:val="32"/>
          <w:szCs w:val="32"/>
          <w:u w:val="single" w:color="000000"/>
        </w:rPr>
        <w:t xml:space="preserve"> 92.22</w:t>
      </w:r>
      <w:r>
        <w:rPr>
          <w:rFonts w:hint="eastAsia" w:ascii="仿宋" w:hAnsi="仿宋" w:eastAsia="仿宋" w:cs="仿宋"/>
          <w:color w:val="000000"/>
          <w:kern w:val="0"/>
          <w:sz w:val="32"/>
          <w:szCs w:val="32"/>
        </w:rPr>
        <w:t>%。其中：</w:t>
      </w:r>
    </w:p>
    <w:p w14:paraId="346B059B">
      <w:pPr>
        <w:widowControl/>
        <w:spacing w:before="240" w:after="240"/>
        <w:jc w:val="left"/>
        <w:rPr>
          <w:rFonts w:hint="eastAsia" w:ascii="楷体" w:hAnsi="楷体" w:eastAsia="楷体" w:cs="楷体"/>
          <w:kern w:val="0"/>
          <w:sz w:val="32"/>
          <w:szCs w:val="32"/>
        </w:rPr>
      </w:pPr>
      <w:r>
        <w:rPr>
          <w:rFonts w:hint="eastAsia" w:ascii="楷体" w:hAnsi="楷体" w:eastAsia="楷体" w:cs="楷体"/>
          <w:b/>
          <w:bCs/>
          <w:color w:val="000000"/>
          <w:kern w:val="0"/>
          <w:sz w:val="32"/>
          <w:szCs w:val="32"/>
        </w:rPr>
        <w:t>    （一）一般公共服务（类）</w:t>
      </w:r>
    </w:p>
    <w:p w14:paraId="15E3AEA0">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color w:val="000000"/>
          <w:kern w:val="0"/>
          <w:sz w:val="27"/>
          <w:szCs w:val="27"/>
          <w:lang w:val="en-US" w:eastAsia="zh-CN"/>
        </w:rPr>
        <w:t xml:space="preserve"> </w:t>
      </w:r>
      <w:r>
        <w:rPr>
          <w:rFonts w:hint="eastAsia" w:ascii="仿宋" w:hAnsi="仿宋" w:eastAsia="仿宋" w:cs="仿宋"/>
          <w:color w:val="000000"/>
          <w:kern w:val="0"/>
          <w:sz w:val="32"/>
          <w:szCs w:val="32"/>
        </w:rPr>
        <w:t>一般公共服务（类）决算数为</w:t>
      </w:r>
      <w:r>
        <w:rPr>
          <w:rFonts w:hint="eastAsia" w:ascii="仿宋" w:hAnsi="仿宋" w:eastAsia="仿宋" w:cs="仿宋"/>
          <w:color w:val="000000"/>
          <w:kern w:val="0"/>
          <w:sz w:val="32"/>
          <w:szCs w:val="32"/>
          <w:u w:val="single" w:color="000000"/>
        </w:rPr>
        <w:t> 1.75</w:t>
      </w:r>
      <w:r>
        <w:rPr>
          <w:rFonts w:hint="eastAsia" w:ascii="仿宋" w:hAnsi="仿宋" w:eastAsia="仿宋" w:cs="仿宋"/>
          <w:color w:val="000000"/>
          <w:kern w:val="0"/>
          <w:sz w:val="32"/>
          <w:szCs w:val="32"/>
        </w:rPr>
        <w:t>万元，与年初预算相比增加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万元。其中：</w:t>
      </w:r>
    </w:p>
    <w:p w14:paraId="45A814F8">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xml:space="preserve"> 1．</w:t>
      </w:r>
      <w:r>
        <w:rPr>
          <w:rFonts w:hint="eastAsia" w:ascii="仿宋" w:hAnsi="仿宋" w:eastAsia="仿宋" w:cs="仿宋"/>
          <w:color w:val="000000"/>
          <w:kern w:val="0"/>
          <w:sz w:val="32"/>
          <w:szCs w:val="32"/>
          <w:lang w:val="en-US" w:eastAsia="zh-CN"/>
        </w:rPr>
        <w:t>群众团体事务</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其他群众团体事务支出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1.75</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1.75</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此项内容无差异</w:t>
      </w:r>
      <w:r>
        <w:rPr>
          <w:rFonts w:hint="eastAsia" w:ascii="仿宋" w:hAnsi="仿宋" w:eastAsia="仿宋" w:cs="仿宋"/>
          <w:color w:val="000000"/>
          <w:kern w:val="0"/>
          <w:sz w:val="32"/>
          <w:szCs w:val="32"/>
        </w:rPr>
        <w:t>。</w:t>
      </w:r>
    </w:p>
    <w:p w14:paraId="5AF7B262">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w:t>
      </w:r>
      <w:r>
        <w:rPr>
          <w:rFonts w:hint="eastAsia" w:ascii="楷体" w:hAnsi="楷体" w:eastAsia="楷体" w:cs="楷体"/>
          <w:b/>
          <w:bCs/>
          <w:color w:val="000000"/>
          <w:kern w:val="0"/>
          <w:sz w:val="32"/>
          <w:szCs w:val="32"/>
          <w:lang w:val="en-US" w:eastAsia="zh-CN"/>
        </w:rPr>
        <w:t>二</w:t>
      </w:r>
      <w:r>
        <w:rPr>
          <w:rFonts w:hint="eastAsia" w:ascii="楷体" w:hAnsi="楷体" w:eastAsia="楷体" w:cs="楷体"/>
          <w:b/>
          <w:bCs/>
          <w:color w:val="000000"/>
          <w:kern w:val="0"/>
          <w:sz w:val="32"/>
          <w:szCs w:val="32"/>
        </w:rPr>
        <w:t>）社会保障和就业支出（类）</w:t>
      </w:r>
    </w:p>
    <w:p w14:paraId="5BA4D4EF">
      <w:pPr>
        <w:widowControl/>
        <w:spacing w:before="240" w:after="240"/>
        <w:jc w:val="left"/>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社会保障和就业支出（类）决算数为</w:t>
      </w:r>
      <w:r>
        <w:rPr>
          <w:rFonts w:hint="eastAsia" w:ascii="仿宋" w:hAnsi="仿宋" w:eastAsia="仿宋" w:cs="仿宋"/>
          <w:color w:val="000000"/>
          <w:kern w:val="0"/>
          <w:sz w:val="32"/>
          <w:szCs w:val="32"/>
          <w:u w:val="single" w:color="000000"/>
        </w:rPr>
        <w:t> 32.65</w:t>
      </w:r>
      <w:r>
        <w:rPr>
          <w:rFonts w:hint="eastAsia" w:ascii="仿宋" w:hAnsi="仿宋" w:eastAsia="仿宋" w:cs="仿宋"/>
          <w:color w:val="000000"/>
          <w:kern w:val="0"/>
          <w:sz w:val="32"/>
          <w:szCs w:val="32"/>
        </w:rPr>
        <w:t>万元，与年初预算相比增加</w:t>
      </w:r>
      <w:r>
        <w:rPr>
          <w:rFonts w:hint="eastAsia" w:ascii="仿宋" w:hAnsi="仿宋" w:eastAsia="仿宋" w:cs="仿宋"/>
          <w:color w:val="000000"/>
          <w:kern w:val="0"/>
          <w:sz w:val="32"/>
          <w:szCs w:val="32"/>
          <w:u w:val="single" w:color="000000"/>
        </w:rPr>
        <w:t>1.22</w:t>
      </w:r>
      <w:r>
        <w:rPr>
          <w:rFonts w:hint="eastAsia" w:ascii="仿宋" w:hAnsi="仿宋" w:eastAsia="仿宋" w:cs="仿宋"/>
          <w:color w:val="000000"/>
          <w:kern w:val="0"/>
          <w:sz w:val="32"/>
          <w:szCs w:val="32"/>
        </w:rPr>
        <w:t>万元。其中：</w:t>
      </w:r>
    </w:p>
    <w:p w14:paraId="323D926D">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rPr>
        <w:t>行政事业单位养老支出（款）事业单位离退休（项）。年初预算</w:t>
      </w:r>
      <w:r>
        <w:rPr>
          <w:rFonts w:hint="eastAsia" w:ascii="仿宋" w:hAnsi="仿宋" w:eastAsia="仿宋" w:cs="仿宋"/>
          <w:color w:val="000000"/>
          <w:kern w:val="0"/>
          <w:sz w:val="32"/>
          <w:szCs w:val="32"/>
          <w:u w:val="single" w:color="000000"/>
          <w:lang w:val="en-US" w:eastAsia="zh-CN"/>
        </w:rPr>
        <w:t>12.04</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12.46</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103.48</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我单位新增一名退休人员</w:t>
      </w:r>
      <w:r>
        <w:rPr>
          <w:rFonts w:hint="eastAsia" w:ascii="仿宋" w:hAnsi="仿宋" w:eastAsia="仿宋" w:cs="仿宋"/>
          <w:color w:val="000000"/>
          <w:kern w:val="0"/>
          <w:sz w:val="32"/>
          <w:szCs w:val="32"/>
        </w:rPr>
        <w:t>。</w:t>
      </w:r>
    </w:p>
    <w:p w14:paraId="74582B02">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行政事业单位养老支出（款）机关事业单位基本养老保险缴费支出（项）。年初预算</w:t>
      </w:r>
      <w:r>
        <w:rPr>
          <w:rFonts w:hint="eastAsia" w:ascii="仿宋" w:hAnsi="仿宋" w:eastAsia="仿宋" w:cs="仿宋"/>
          <w:color w:val="000000"/>
          <w:kern w:val="0"/>
          <w:sz w:val="32"/>
          <w:szCs w:val="32"/>
          <w:u w:val="single" w:color="000000"/>
          <w:lang w:val="en-US" w:eastAsia="zh-CN"/>
        </w:rPr>
        <w:t>12.92</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11.34</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87.77</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我单位人员较年初减少</w:t>
      </w:r>
      <w:r>
        <w:rPr>
          <w:rFonts w:hint="eastAsia" w:ascii="仿宋" w:hAnsi="仿宋" w:eastAsia="仿宋" w:cs="仿宋"/>
          <w:color w:val="000000"/>
          <w:kern w:val="0"/>
          <w:sz w:val="32"/>
          <w:szCs w:val="32"/>
        </w:rPr>
        <w:t>。</w:t>
      </w:r>
    </w:p>
    <w:p w14:paraId="17CD5B15">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．行政事业单位养老支出（款）机关事业单位职业年金缴费支出（项）。年初预算</w:t>
      </w:r>
      <w:r>
        <w:rPr>
          <w:rFonts w:hint="eastAsia" w:ascii="仿宋" w:hAnsi="仿宋" w:eastAsia="仿宋" w:cs="仿宋"/>
          <w:color w:val="000000"/>
          <w:kern w:val="0"/>
          <w:sz w:val="32"/>
          <w:szCs w:val="32"/>
          <w:u w:val="single" w:color="000000"/>
          <w:lang w:val="en-US" w:eastAsia="zh-CN"/>
        </w:rPr>
        <w:t>6.46</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8.85</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136.99</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我单位新增一名退休人员</w:t>
      </w:r>
      <w:r>
        <w:rPr>
          <w:rFonts w:hint="eastAsia" w:ascii="仿宋" w:hAnsi="仿宋" w:eastAsia="仿宋" w:cs="仿宋"/>
          <w:color w:val="000000"/>
          <w:kern w:val="0"/>
          <w:sz w:val="32"/>
          <w:szCs w:val="32"/>
        </w:rPr>
        <w:t>。</w:t>
      </w:r>
    </w:p>
    <w:p w14:paraId="4D05BC70">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w:t>
      </w:r>
      <w:r>
        <w:rPr>
          <w:rFonts w:hint="eastAsia" w:ascii="楷体" w:hAnsi="楷体" w:eastAsia="楷体" w:cs="楷体"/>
          <w:b/>
          <w:bCs/>
          <w:color w:val="000000"/>
          <w:kern w:val="0"/>
          <w:sz w:val="32"/>
          <w:szCs w:val="32"/>
          <w:lang w:val="en-US" w:eastAsia="zh-CN"/>
        </w:rPr>
        <w:t>三</w:t>
      </w:r>
      <w:r>
        <w:rPr>
          <w:rFonts w:hint="eastAsia" w:ascii="楷体" w:hAnsi="楷体" w:eastAsia="楷体" w:cs="楷体"/>
          <w:b/>
          <w:bCs/>
          <w:color w:val="000000"/>
          <w:kern w:val="0"/>
          <w:sz w:val="32"/>
          <w:szCs w:val="32"/>
        </w:rPr>
        <w:t>）卫生健康支出（类）</w:t>
      </w:r>
    </w:p>
    <w:p w14:paraId="3CE41041">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卫生健康支出（类）决算数为</w:t>
      </w:r>
      <w:r>
        <w:rPr>
          <w:rFonts w:hint="eastAsia" w:ascii="仿宋" w:hAnsi="仿宋" w:eastAsia="仿宋" w:cs="仿宋"/>
          <w:color w:val="000000"/>
          <w:kern w:val="0"/>
          <w:sz w:val="32"/>
          <w:szCs w:val="32"/>
          <w:u w:val="single" w:color="000000"/>
        </w:rPr>
        <w:t> 111.47</w:t>
      </w:r>
      <w:r>
        <w:rPr>
          <w:rFonts w:hint="eastAsia" w:ascii="仿宋" w:hAnsi="仿宋" w:eastAsia="仿宋" w:cs="仿宋"/>
          <w:color w:val="000000"/>
          <w:kern w:val="0"/>
          <w:sz w:val="32"/>
          <w:szCs w:val="32"/>
        </w:rPr>
        <w:t>万元，与年初预算相比减少</w:t>
      </w:r>
      <w:r>
        <w:rPr>
          <w:rFonts w:hint="eastAsia" w:ascii="仿宋" w:hAnsi="仿宋" w:eastAsia="仿宋" w:cs="仿宋"/>
          <w:color w:val="000000"/>
          <w:kern w:val="0"/>
          <w:sz w:val="32"/>
          <w:szCs w:val="32"/>
          <w:u w:val="single" w:color="000000"/>
        </w:rPr>
        <w:t>13.59</w:t>
      </w:r>
      <w:r>
        <w:rPr>
          <w:rFonts w:hint="eastAsia" w:ascii="仿宋" w:hAnsi="仿宋" w:eastAsia="仿宋" w:cs="仿宋"/>
          <w:color w:val="000000"/>
          <w:kern w:val="0"/>
          <w:sz w:val="32"/>
          <w:szCs w:val="32"/>
        </w:rPr>
        <w:t>万元。其中：</w:t>
      </w:r>
    </w:p>
    <w:p w14:paraId="0CA0FF75">
      <w:pPr>
        <w:widowControl/>
        <w:spacing w:before="240" w:after="24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1</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公共卫生</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其他公共卫生支出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117.59</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101.76</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86.53</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我单位较年初减少一人</w:t>
      </w:r>
      <w:r>
        <w:rPr>
          <w:rFonts w:hint="eastAsia" w:ascii="仿宋" w:hAnsi="仿宋" w:eastAsia="仿宋" w:cs="仿宋"/>
          <w:color w:val="000000"/>
          <w:kern w:val="0"/>
          <w:sz w:val="32"/>
          <w:szCs w:val="32"/>
        </w:rPr>
        <w:t>。</w:t>
      </w:r>
    </w:p>
    <w:p w14:paraId="31D31E10">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2</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卫生健康管理事务</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其他卫生健康管理事务支出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2.8</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主管部门拨基本公共卫生服务项目经费用于购买宣传品</w:t>
      </w:r>
      <w:r>
        <w:rPr>
          <w:rFonts w:hint="eastAsia" w:ascii="仿宋" w:hAnsi="仿宋" w:eastAsia="仿宋" w:cs="仿宋"/>
          <w:color w:val="000000"/>
          <w:kern w:val="0"/>
          <w:sz w:val="32"/>
          <w:szCs w:val="32"/>
        </w:rPr>
        <w:t>。</w:t>
      </w:r>
    </w:p>
    <w:p w14:paraId="18CD8FD0">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．行政事业单位医疗（款）事业单位医疗（项）。年初预算</w:t>
      </w:r>
      <w:r>
        <w:rPr>
          <w:rFonts w:hint="eastAsia" w:ascii="仿宋" w:hAnsi="仿宋" w:eastAsia="仿宋" w:cs="仿宋"/>
          <w:color w:val="000000"/>
          <w:kern w:val="0"/>
          <w:sz w:val="32"/>
          <w:szCs w:val="32"/>
          <w:u w:val="single" w:color="000000"/>
          <w:lang w:val="en-US" w:eastAsia="zh-CN"/>
        </w:rPr>
        <w:t>7.47</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6.91</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92.5</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我单位较年初减少一人</w:t>
      </w:r>
      <w:r>
        <w:rPr>
          <w:rFonts w:hint="eastAsia" w:ascii="仿宋" w:hAnsi="仿宋" w:eastAsia="仿宋" w:cs="仿宋"/>
          <w:color w:val="000000"/>
          <w:kern w:val="0"/>
          <w:sz w:val="32"/>
          <w:szCs w:val="32"/>
        </w:rPr>
        <w:t>。</w:t>
      </w:r>
    </w:p>
    <w:p w14:paraId="26941FC3">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w:t>
      </w:r>
      <w:r>
        <w:rPr>
          <w:rFonts w:hint="eastAsia" w:ascii="楷体" w:hAnsi="楷体" w:eastAsia="楷体" w:cs="楷体"/>
          <w:b/>
          <w:bCs/>
          <w:color w:val="000000"/>
          <w:kern w:val="0"/>
          <w:sz w:val="32"/>
          <w:szCs w:val="32"/>
          <w:lang w:val="en-US" w:eastAsia="zh-CN"/>
        </w:rPr>
        <w:t>四</w:t>
      </w:r>
      <w:r>
        <w:rPr>
          <w:rFonts w:hint="eastAsia" w:ascii="楷体" w:hAnsi="楷体" w:eastAsia="楷体" w:cs="楷体"/>
          <w:b/>
          <w:bCs/>
          <w:color w:val="000000"/>
          <w:kern w:val="0"/>
          <w:sz w:val="32"/>
          <w:szCs w:val="32"/>
        </w:rPr>
        <w:t>）住房保障支出（类）</w:t>
      </w:r>
    </w:p>
    <w:p w14:paraId="1098C0FD">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住房保障支出（类）决算数为</w:t>
      </w:r>
      <w:r>
        <w:rPr>
          <w:rFonts w:hint="eastAsia" w:ascii="仿宋" w:hAnsi="仿宋" w:eastAsia="仿宋" w:cs="仿宋"/>
          <w:color w:val="000000"/>
          <w:kern w:val="0"/>
          <w:sz w:val="32"/>
          <w:szCs w:val="32"/>
          <w:u w:val="single" w:color="000000"/>
        </w:rPr>
        <w:t> 11.00</w:t>
      </w:r>
      <w:r>
        <w:rPr>
          <w:rFonts w:hint="eastAsia" w:ascii="仿宋" w:hAnsi="仿宋" w:eastAsia="仿宋" w:cs="仿宋"/>
          <w:color w:val="000000"/>
          <w:kern w:val="0"/>
          <w:sz w:val="32"/>
          <w:szCs w:val="32"/>
        </w:rPr>
        <w:t>万元，与年初预算相比减少</w:t>
      </w:r>
      <w:r>
        <w:rPr>
          <w:rFonts w:hint="eastAsia" w:ascii="仿宋" w:hAnsi="仿宋" w:eastAsia="仿宋" w:cs="仿宋"/>
          <w:color w:val="000000"/>
          <w:kern w:val="0"/>
          <w:sz w:val="32"/>
          <w:szCs w:val="32"/>
          <w:u w:val="single" w:color="000000"/>
        </w:rPr>
        <w:t>0.85</w:t>
      </w:r>
      <w:r>
        <w:rPr>
          <w:rFonts w:hint="eastAsia" w:ascii="仿宋" w:hAnsi="仿宋" w:eastAsia="仿宋" w:cs="仿宋"/>
          <w:color w:val="000000"/>
          <w:kern w:val="0"/>
          <w:sz w:val="32"/>
          <w:szCs w:val="32"/>
        </w:rPr>
        <w:t>万元。其中：</w:t>
      </w:r>
    </w:p>
    <w:p w14:paraId="269F292B">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1．住房改革支出（款）住房公积金（项）。年初预算</w:t>
      </w:r>
      <w:r>
        <w:rPr>
          <w:rFonts w:hint="eastAsia" w:ascii="仿宋" w:hAnsi="仿宋" w:eastAsia="仿宋" w:cs="仿宋"/>
          <w:color w:val="000000"/>
          <w:kern w:val="0"/>
          <w:sz w:val="32"/>
          <w:szCs w:val="32"/>
          <w:u w:val="single" w:color="000000"/>
          <w:lang w:val="en-US" w:eastAsia="zh-CN"/>
        </w:rPr>
        <w:t>11.85</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11</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92.82</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我单位较年初减少一人</w:t>
      </w:r>
      <w:r>
        <w:rPr>
          <w:rFonts w:hint="eastAsia" w:ascii="仿宋" w:hAnsi="仿宋" w:eastAsia="仿宋" w:cs="仿宋"/>
          <w:color w:val="000000"/>
          <w:kern w:val="0"/>
          <w:sz w:val="32"/>
          <w:szCs w:val="32"/>
        </w:rPr>
        <w:t>。</w:t>
      </w:r>
    </w:p>
    <w:p w14:paraId="0B627189">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六、一般公共预算财政拨款基本支出决算情况说明</w:t>
      </w:r>
    </w:p>
    <w:p w14:paraId="29BAA6F3">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乌海市卫生健康宣传教育中心 2024年度一般公共预算财政拨款基本支出决算</w:t>
      </w:r>
      <w:r>
        <w:rPr>
          <w:rFonts w:hint="eastAsia" w:ascii="仿宋" w:hAnsi="仿宋" w:eastAsia="仿宋" w:cs="仿宋"/>
          <w:color w:val="000000"/>
          <w:kern w:val="0"/>
          <w:sz w:val="32"/>
          <w:szCs w:val="32"/>
          <w:u w:val="single" w:color="000000"/>
        </w:rPr>
        <w:t> 152.33</w:t>
      </w:r>
      <w:r>
        <w:rPr>
          <w:rFonts w:hint="eastAsia" w:ascii="仿宋" w:hAnsi="仿宋" w:eastAsia="仿宋" w:cs="仿宋"/>
          <w:color w:val="000000"/>
          <w:kern w:val="0"/>
          <w:sz w:val="32"/>
          <w:szCs w:val="32"/>
        </w:rPr>
        <w:t>万元，其中：</w:t>
      </w:r>
    </w:p>
    <w:p w14:paraId="621E4583">
      <w:pPr>
        <w:widowControl/>
        <w:spacing w:before="240" w:after="240"/>
        <w:rPr>
          <w:rFonts w:hint="eastAsia" w:ascii="仿宋" w:hAnsi="仿宋" w:eastAsia="仿宋" w:cs="仿宋"/>
          <w:kern w:val="0"/>
          <w:sz w:val="32"/>
          <w:szCs w:val="32"/>
        </w:rPr>
      </w:pPr>
      <w:r>
        <w:rPr>
          <w:rFonts w:hint="eastAsia" w:ascii="仿宋" w:hAnsi="仿宋" w:eastAsia="仿宋" w:cs="仿宋"/>
          <w:b/>
          <w:bCs/>
          <w:color w:val="000000"/>
          <w:kern w:val="0"/>
          <w:sz w:val="32"/>
          <w:szCs w:val="32"/>
        </w:rPr>
        <w:t>    （一）人员经费</w:t>
      </w:r>
      <w:r>
        <w:rPr>
          <w:rFonts w:hint="eastAsia" w:ascii="仿宋" w:hAnsi="仿宋" w:eastAsia="仿宋" w:cs="仿宋"/>
          <w:color w:val="000000"/>
          <w:kern w:val="0"/>
          <w:sz w:val="32"/>
          <w:szCs w:val="32"/>
          <w:u w:val="single" w:color="000000"/>
        </w:rPr>
        <w:t> 144.14</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rPr>
        <w:t>。主要包括：基本工资</w:t>
      </w:r>
      <w:r>
        <w:rPr>
          <w:rFonts w:hint="eastAsia" w:ascii="仿宋" w:hAnsi="仿宋" w:eastAsia="仿宋" w:cs="仿宋"/>
          <w:color w:val="000000"/>
          <w:kern w:val="0"/>
          <w:sz w:val="32"/>
          <w:szCs w:val="32"/>
          <w:lang w:val="en-US" w:eastAsia="zh-CN"/>
        </w:rPr>
        <w:t>42.94万元</w:t>
      </w:r>
      <w:r>
        <w:rPr>
          <w:rFonts w:hint="eastAsia" w:ascii="仿宋" w:hAnsi="仿宋" w:eastAsia="仿宋" w:cs="仿宋"/>
          <w:color w:val="000000"/>
          <w:kern w:val="0"/>
          <w:sz w:val="32"/>
          <w:szCs w:val="32"/>
        </w:rPr>
        <w:t>、津贴补贴</w:t>
      </w:r>
      <w:r>
        <w:rPr>
          <w:rFonts w:hint="eastAsia" w:ascii="仿宋" w:hAnsi="仿宋" w:eastAsia="仿宋" w:cs="仿宋"/>
          <w:color w:val="000000"/>
          <w:kern w:val="0"/>
          <w:sz w:val="32"/>
          <w:szCs w:val="32"/>
          <w:lang w:val="en-US" w:eastAsia="zh-CN"/>
        </w:rPr>
        <w:t>10.72万元</w:t>
      </w:r>
      <w:r>
        <w:rPr>
          <w:rFonts w:hint="eastAsia" w:ascii="仿宋" w:hAnsi="仿宋" w:eastAsia="仿宋" w:cs="仿宋"/>
          <w:color w:val="000000"/>
          <w:kern w:val="0"/>
          <w:sz w:val="32"/>
          <w:szCs w:val="32"/>
        </w:rPr>
        <w:t>、奖金</w:t>
      </w:r>
      <w:r>
        <w:rPr>
          <w:rFonts w:hint="eastAsia" w:ascii="仿宋" w:hAnsi="仿宋" w:eastAsia="仿宋" w:cs="仿宋"/>
          <w:color w:val="000000"/>
          <w:kern w:val="0"/>
          <w:sz w:val="32"/>
          <w:szCs w:val="32"/>
          <w:lang w:val="en-US" w:eastAsia="zh-CN"/>
        </w:rPr>
        <w:t>8.55万元</w:t>
      </w:r>
      <w:r>
        <w:rPr>
          <w:rFonts w:hint="eastAsia" w:ascii="仿宋" w:hAnsi="仿宋" w:eastAsia="仿宋" w:cs="仿宋"/>
          <w:color w:val="000000"/>
          <w:kern w:val="0"/>
          <w:sz w:val="32"/>
          <w:szCs w:val="32"/>
        </w:rPr>
        <w:t>、绩效工资</w:t>
      </w:r>
      <w:r>
        <w:rPr>
          <w:rFonts w:hint="eastAsia" w:ascii="仿宋" w:hAnsi="仿宋" w:eastAsia="仿宋" w:cs="仿宋"/>
          <w:color w:val="000000"/>
          <w:kern w:val="0"/>
          <w:sz w:val="32"/>
          <w:szCs w:val="32"/>
          <w:lang w:val="en-US" w:eastAsia="zh-CN"/>
        </w:rPr>
        <w:t>30.02万元</w:t>
      </w:r>
      <w:r>
        <w:rPr>
          <w:rFonts w:hint="eastAsia" w:ascii="仿宋" w:hAnsi="仿宋" w:eastAsia="仿宋" w:cs="仿宋"/>
          <w:color w:val="000000"/>
          <w:kern w:val="0"/>
          <w:sz w:val="32"/>
          <w:szCs w:val="32"/>
        </w:rPr>
        <w:t>、机关事业单位基本养老保险缴费</w:t>
      </w:r>
      <w:r>
        <w:rPr>
          <w:rFonts w:hint="eastAsia" w:ascii="仿宋" w:hAnsi="仿宋" w:eastAsia="仿宋" w:cs="仿宋"/>
          <w:color w:val="000000"/>
          <w:kern w:val="0"/>
          <w:sz w:val="32"/>
          <w:szCs w:val="32"/>
          <w:lang w:val="en-US" w:eastAsia="zh-CN"/>
        </w:rPr>
        <w:t>11.34万元</w:t>
      </w:r>
      <w:r>
        <w:rPr>
          <w:rFonts w:hint="eastAsia" w:ascii="仿宋" w:hAnsi="仿宋" w:eastAsia="仿宋" w:cs="仿宋"/>
          <w:color w:val="000000"/>
          <w:kern w:val="0"/>
          <w:sz w:val="32"/>
          <w:szCs w:val="32"/>
        </w:rPr>
        <w:t>、职业年金缴费</w:t>
      </w:r>
      <w:r>
        <w:rPr>
          <w:rFonts w:hint="eastAsia" w:ascii="仿宋" w:hAnsi="仿宋" w:eastAsia="仿宋" w:cs="仿宋"/>
          <w:color w:val="000000"/>
          <w:kern w:val="0"/>
          <w:sz w:val="32"/>
          <w:szCs w:val="32"/>
          <w:lang w:val="en-US" w:eastAsia="zh-CN"/>
        </w:rPr>
        <w:t>8.85万元</w:t>
      </w:r>
      <w:r>
        <w:rPr>
          <w:rFonts w:hint="eastAsia" w:ascii="仿宋" w:hAnsi="仿宋" w:eastAsia="仿宋" w:cs="仿宋"/>
          <w:color w:val="000000"/>
          <w:kern w:val="0"/>
          <w:sz w:val="32"/>
          <w:szCs w:val="32"/>
        </w:rPr>
        <w:t>、职工基本医疗保险缴费</w:t>
      </w:r>
      <w:r>
        <w:rPr>
          <w:rFonts w:hint="eastAsia" w:ascii="仿宋" w:hAnsi="仿宋" w:eastAsia="仿宋" w:cs="仿宋"/>
          <w:color w:val="000000"/>
          <w:kern w:val="0"/>
          <w:sz w:val="32"/>
          <w:szCs w:val="32"/>
          <w:lang w:val="en-US" w:eastAsia="zh-CN"/>
        </w:rPr>
        <w:t>6.83万元</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其他社会保障缴费1.91万元</w:t>
      </w:r>
      <w:r>
        <w:rPr>
          <w:rFonts w:hint="eastAsia" w:ascii="仿宋" w:hAnsi="仿宋" w:eastAsia="仿宋" w:cs="仿宋"/>
          <w:color w:val="000000"/>
          <w:kern w:val="0"/>
          <w:sz w:val="32"/>
          <w:szCs w:val="32"/>
        </w:rPr>
        <w:t>、住房公积金</w:t>
      </w:r>
      <w:r>
        <w:rPr>
          <w:rFonts w:hint="eastAsia" w:ascii="仿宋" w:hAnsi="仿宋" w:eastAsia="仿宋" w:cs="仿宋"/>
          <w:color w:val="000000"/>
          <w:kern w:val="0"/>
          <w:sz w:val="32"/>
          <w:szCs w:val="32"/>
          <w:lang w:val="en-US" w:eastAsia="zh-CN"/>
        </w:rPr>
        <w:t>11万元</w:t>
      </w:r>
      <w:r>
        <w:rPr>
          <w:rFonts w:hint="eastAsia" w:ascii="仿宋" w:hAnsi="仿宋" w:eastAsia="仿宋" w:cs="仿宋"/>
          <w:color w:val="000000"/>
          <w:kern w:val="0"/>
          <w:sz w:val="32"/>
          <w:szCs w:val="32"/>
        </w:rPr>
        <w:t>、退休费</w:t>
      </w:r>
      <w:r>
        <w:rPr>
          <w:rFonts w:hint="eastAsia" w:ascii="仿宋" w:hAnsi="仿宋" w:eastAsia="仿宋" w:cs="仿宋"/>
          <w:color w:val="000000"/>
          <w:kern w:val="0"/>
          <w:sz w:val="32"/>
          <w:szCs w:val="32"/>
          <w:lang w:val="en-US" w:eastAsia="zh-CN"/>
        </w:rPr>
        <w:t>11.99万元</w:t>
      </w:r>
      <w:r>
        <w:rPr>
          <w:rFonts w:hint="eastAsia" w:ascii="仿宋" w:hAnsi="仿宋" w:eastAsia="仿宋" w:cs="仿宋"/>
          <w:color w:val="000000"/>
          <w:kern w:val="0"/>
          <w:sz w:val="32"/>
          <w:szCs w:val="32"/>
        </w:rPr>
        <w:t>。</w:t>
      </w:r>
    </w:p>
    <w:p w14:paraId="484DA58D">
      <w:pPr>
        <w:widowControl/>
        <w:spacing w:before="240" w:after="240"/>
        <w:rPr>
          <w:rFonts w:eastAsia="Times New Roman"/>
          <w:kern w:val="0"/>
          <w:sz w:val="24"/>
        </w:rPr>
      </w:pPr>
      <w:r>
        <w:rPr>
          <w:rFonts w:ascii="仿宋_GB2312" w:hAnsi="仿宋_GB2312" w:eastAsia="仿宋_GB2312" w:cs="仿宋_GB2312"/>
          <w:b/>
          <w:bCs/>
          <w:color w:val="000000"/>
          <w:kern w:val="0"/>
          <w:sz w:val="27"/>
          <w:szCs w:val="27"/>
        </w:rPr>
        <w:t xml:space="preserve">    </w:t>
      </w:r>
      <w:r>
        <w:rPr>
          <w:rFonts w:hint="eastAsia" w:ascii="仿宋" w:hAnsi="仿宋" w:eastAsia="仿宋" w:cs="仿宋"/>
          <w:b/>
          <w:bCs/>
          <w:color w:val="000000"/>
          <w:kern w:val="0"/>
          <w:sz w:val="32"/>
          <w:szCs w:val="32"/>
        </w:rPr>
        <w:t>（二）公用经费</w:t>
      </w:r>
      <w:r>
        <w:rPr>
          <w:rFonts w:hint="eastAsia" w:ascii="仿宋" w:hAnsi="仿宋" w:eastAsia="仿宋" w:cs="仿宋"/>
          <w:color w:val="000000"/>
          <w:kern w:val="0"/>
          <w:sz w:val="32"/>
          <w:szCs w:val="32"/>
          <w:u w:val="single" w:color="000000"/>
        </w:rPr>
        <w:t> 8.19</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rPr>
        <w:t>。主要包括：办公费</w:t>
      </w:r>
      <w:r>
        <w:rPr>
          <w:rFonts w:hint="eastAsia" w:ascii="仿宋" w:hAnsi="仿宋" w:eastAsia="仿宋" w:cs="仿宋"/>
          <w:color w:val="000000"/>
          <w:kern w:val="0"/>
          <w:sz w:val="32"/>
          <w:szCs w:val="32"/>
          <w:lang w:val="en-US" w:eastAsia="zh-CN"/>
        </w:rPr>
        <w:t>1.17万元</w:t>
      </w:r>
      <w:r>
        <w:rPr>
          <w:rFonts w:hint="eastAsia" w:ascii="仿宋" w:hAnsi="仿宋" w:eastAsia="仿宋" w:cs="仿宋"/>
          <w:color w:val="000000"/>
          <w:kern w:val="0"/>
          <w:sz w:val="32"/>
          <w:szCs w:val="32"/>
        </w:rPr>
        <w:t>、手续费</w:t>
      </w:r>
      <w:r>
        <w:rPr>
          <w:rFonts w:hint="eastAsia" w:ascii="仿宋" w:hAnsi="仿宋" w:eastAsia="仿宋" w:cs="仿宋"/>
          <w:color w:val="000000"/>
          <w:kern w:val="0"/>
          <w:sz w:val="32"/>
          <w:szCs w:val="32"/>
          <w:lang w:val="en-US" w:eastAsia="zh-CN"/>
        </w:rPr>
        <w:t>0.04万元</w:t>
      </w:r>
      <w:r>
        <w:rPr>
          <w:rFonts w:hint="eastAsia" w:ascii="仿宋" w:hAnsi="仿宋" w:eastAsia="仿宋" w:cs="仿宋"/>
          <w:color w:val="000000"/>
          <w:kern w:val="0"/>
          <w:sz w:val="32"/>
          <w:szCs w:val="32"/>
        </w:rPr>
        <w:t>、差旅费</w:t>
      </w:r>
      <w:r>
        <w:rPr>
          <w:rFonts w:hint="eastAsia" w:ascii="仿宋" w:hAnsi="仿宋" w:eastAsia="仿宋" w:cs="仿宋"/>
          <w:color w:val="000000"/>
          <w:kern w:val="0"/>
          <w:sz w:val="32"/>
          <w:szCs w:val="32"/>
          <w:lang w:val="en-US" w:eastAsia="zh-CN"/>
        </w:rPr>
        <w:t>0.25万元</w:t>
      </w:r>
      <w:r>
        <w:rPr>
          <w:rFonts w:hint="eastAsia" w:ascii="仿宋" w:hAnsi="仿宋" w:eastAsia="仿宋" w:cs="仿宋"/>
          <w:color w:val="000000"/>
          <w:kern w:val="0"/>
          <w:sz w:val="32"/>
          <w:szCs w:val="32"/>
        </w:rPr>
        <w:t>、培训费</w:t>
      </w:r>
      <w:r>
        <w:rPr>
          <w:rFonts w:hint="eastAsia" w:ascii="仿宋" w:hAnsi="仿宋" w:eastAsia="仿宋" w:cs="仿宋"/>
          <w:color w:val="000000"/>
          <w:kern w:val="0"/>
          <w:sz w:val="32"/>
          <w:szCs w:val="32"/>
          <w:lang w:val="en-US" w:eastAsia="zh-CN"/>
        </w:rPr>
        <w:t>0.62万元</w:t>
      </w:r>
      <w:r>
        <w:rPr>
          <w:rFonts w:hint="eastAsia" w:ascii="仿宋" w:hAnsi="仿宋" w:eastAsia="仿宋" w:cs="仿宋"/>
          <w:color w:val="000000"/>
          <w:kern w:val="0"/>
          <w:sz w:val="32"/>
          <w:szCs w:val="32"/>
        </w:rPr>
        <w:t>、劳务费</w:t>
      </w:r>
      <w:r>
        <w:rPr>
          <w:rFonts w:hint="eastAsia" w:ascii="仿宋" w:hAnsi="仿宋" w:eastAsia="仿宋" w:cs="仿宋"/>
          <w:color w:val="000000"/>
          <w:kern w:val="0"/>
          <w:sz w:val="32"/>
          <w:szCs w:val="32"/>
          <w:lang w:val="en-US" w:eastAsia="zh-CN"/>
        </w:rPr>
        <w:t>0.09万元</w:t>
      </w:r>
      <w:r>
        <w:rPr>
          <w:rFonts w:hint="eastAsia" w:ascii="仿宋" w:hAnsi="仿宋" w:eastAsia="仿宋" w:cs="仿宋"/>
          <w:color w:val="000000"/>
          <w:kern w:val="0"/>
          <w:sz w:val="32"/>
          <w:szCs w:val="32"/>
        </w:rPr>
        <w:t>、工会经费</w:t>
      </w:r>
      <w:r>
        <w:rPr>
          <w:rFonts w:hint="eastAsia" w:ascii="仿宋" w:hAnsi="仿宋" w:eastAsia="仿宋" w:cs="仿宋"/>
          <w:color w:val="000000"/>
          <w:kern w:val="0"/>
          <w:sz w:val="32"/>
          <w:szCs w:val="32"/>
          <w:lang w:val="en-US" w:eastAsia="zh-CN"/>
        </w:rPr>
        <w:t>1.75万元</w:t>
      </w:r>
      <w:r>
        <w:rPr>
          <w:rFonts w:hint="eastAsia" w:ascii="仿宋" w:hAnsi="仿宋" w:eastAsia="仿宋" w:cs="仿宋"/>
          <w:color w:val="000000"/>
          <w:kern w:val="0"/>
          <w:sz w:val="32"/>
          <w:szCs w:val="32"/>
        </w:rPr>
        <w:t>、福利费</w:t>
      </w:r>
      <w:r>
        <w:rPr>
          <w:rFonts w:hint="eastAsia" w:ascii="仿宋" w:hAnsi="仿宋" w:eastAsia="仿宋" w:cs="仿宋"/>
          <w:color w:val="000000"/>
          <w:kern w:val="0"/>
          <w:sz w:val="32"/>
          <w:szCs w:val="32"/>
          <w:lang w:val="en-US" w:eastAsia="zh-CN"/>
        </w:rPr>
        <w:t>2.4万元</w:t>
      </w:r>
      <w:r>
        <w:rPr>
          <w:rFonts w:hint="eastAsia" w:ascii="仿宋" w:hAnsi="仿宋" w:eastAsia="仿宋" w:cs="仿宋"/>
          <w:color w:val="000000"/>
          <w:kern w:val="0"/>
          <w:sz w:val="32"/>
          <w:szCs w:val="32"/>
        </w:rPr>
        <w:t>、公务用车运行维护费</w:t>
      </w:r>
      <w:r>
        <w:rPr>
          <w:rFonts w:hint="eastAsia" w:ascii="仿宋" w:hAnsi="仿宋" w:eastAsia="仿宋" w:cs="仿宋"/>
          <w:color w:val="000000"/>
          <w:kern w:val="0"/>
          <w:sz w:val="32"/>
          <w:szCs w:val="32"/>
          <w:lang w:val="en-US" w:eastAsia="zh-CN"/>
        </w:rPr>
        <w:t>1.13万元</w:t>
      </w:r>
      <w:r>
        <w:rPr>
          <w:rFonts w:hint="eastAsia" w:ascii="仿宋" w:hAnsi="仿宋" w:eastAsia="仿宋" w:cs="仿宋"/>
          <w:color w:val="000000"/>
          <w:kern w:val="0"/>
          <w:sz w:val="32"/>
          <w:szCs w:val="32"/>
        </w:rPr>
        <w:t>、其他商品和服务支出</w:t>
      </w:r>
      <w:r>
        <w:rPr>
          <w:rFonts w:hint="eastAsia" w:ascii="仿宋" w:hAnsi="仿宋" w:eastAsia="仿宋" w:cs="仿宋"/>
          <w:color w:val="000000"/>
          <w:kern w:val="0"/>
          <w:sz w:val="32"/>
          <w:szCs w:val="32"/>
          <w:lang w:val="en-US" w:eastAsia="zh-CN"/>
        </w:rPr>
        <w:t>0.47万元</w:t>
      </w:r>
      <w:r>
        <w:rPr>
          <w:rFonts w:hint="eastAsia" w:ascii="仿宋" w:hAnsi="仿宋" w:eastAsia="仿宋" w:cs="仿宋"/>
          <w:color w:val="000000"/>
          <w:kern w:val="0"/>
          <w:sz w:val="32"/>
          <w:szCs w:val="32"/>
        </w:rPr>
        <w:t>、办公设备购置</w:t>
      </w:r>
      <w:r>
        <w:rPr>
          <w:rFonts w:hint="eastAsia" w:ascii="仿宋" w:hAnsi="仿宋" w:eastAsia="仿宋" w:cs="仿宋"/>
          <w:color w:val="000000"/>
          <w:kern w:val="0"/>
          <w:sz w:val="32"/>
          <w:szCs w:val="32"/>
          <w:lang w:val="en-US" w:eastAsia="zh-CN"/>
        </w:rPr>
        <w:t>0.28万元</w:t>
      </w:r>
      <w:r>
        <w:rPr>
          <w:rFonts w:hint="eastAsia" w:ascii="仿宋" w:hAnsi="仿宋" w:eastAsia="仿宋" w:cs="仿宋"/>
          <w:color w:val="000000"/>
          <w:kern w:val="0"/>
          <w:sz w:val="32"/>
          <w:szCs w:val="32"/>
        </w:rPr>
        <w:t>。</w:t>
      </w:r>
    </w:p>
    <w:p w14:paraId="1822D21F">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七、一般公共预算财政拨款项目支出决算情况说明</w:t>
      </w:r>
    </w:p>
    <w:p w14:paraId="7E12D83A">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乌海市卫生健康宣传教育中心 2024年度一般公共预算财政拨款项目支出决算</w:t>
      </w:r>
      <w:r>
        <w:rPr>
          <w:rFonts w:hint="eastAsia" w:ascii="仿宋" w:hAnsi="仿宋" w:eastAsia="仿宋" w:cs="仿宋"/>
          <w:color w:val="000000"/>
          <w:kern w:val="0"/>
          <w:sz w:val="32"/>
          <w:szCs w:val="32"/>
          <w:u w:val="single" w:color="000000"/>
        </w:rPr>
        <w:t xml:space="preserve"> 4.53</w:t>
      </w:r>
      <w:r>
        <w:rPr>
          <w:rFonts w:hint="eastAsia" w:ascii="仿宋" w:hAnsi="仿宋" w:eastAsia="仿宋" w:cs="仿宋"/>
          <w:color w:val="000000"/>
          <w:kern w:val="0"/>
          <w:sz w:val="32"/>
          <w:szCs w:val="32"/>
        </w:rPr>
        <w:t>万元，其中：</w:t>
      </w:r>
    </w:p>
    <w:p w14:paraId="7A923CAA">
      <w:pPr>
        <w:widowControl/>
        <w:spacing w:before="240" w:after="240"/>
        <w:rPr>
          <w:rFonts w:hint="default" w:ascii="仿宋" w:hAnsi="仿宋" w:eastAsia="仿宋" w:cs="仿宋"/>
          <w:kern w:val="0"/>
          <w:sz w:val="32"/>
          <w:szCs w:val="32"/>
          <w:highlight w:val="yellow"/>
          <w:lang w:val="en-US" w:eastAsia="zh-CN"/>
        </w:rPr>
      </w:pPr>
      <w:r>
        <w:rPr>
          <w:rFonts w:hint="eastAsia" w:ascii="仿宋" w:hAnsi="仿宋" w:eastAsia="仿宋" w:cs="仿宋"/>
          <w:b/>
          <w:bCs/>
          <w:color w:val="000000"/>
          <w:kern w:val="0"/>
          <w:sz w:val="32"/>
          <w:szCs w:val="32"/>
        </w:rPr>
        <w:t>    （一）工资福利支出</w:t>
      </w:r>
      <w:r>
        <w:rPr>
          <w:rFonts w:hint="eastAsia" w:ascii="仿宋" w:hAnsi="仿宋" w:eastAsia="仿宋" w:cs="仿宋"/>
          <w:color w:val="000000"/>
          <w:kern w:val="0"/>
          <w:sz w:val="32"/>
          <w:szCs w:val="32"/>
          <w:u w:val="single" w:color="000000"/>
        </w:rPr>
        <w:t xml:space="preserve"> </w:t>
      </w:r>
      <w:r>
        <w:rPr>
          <w:rFonts w:hint="eastAsia" w:ascii="仿宋" w:hAnsi="仿宋" w:eastAsia="仿宋" w:cs="仿宋"/>
          <w:b/>
          <w:bCs/>
          <w:color w:val="000000"/>
          <w:kern w:val="0"/>
          <w:sz w:val="32"/>
          <w:szCs w:val="32"/>
          <w:u w:val="single" w:color="000000"/>
        </w:rPr>
        <w:t>1.73</w:t>
      </w:r>
      <w:r>
        <w:rPr>
          <w:rFonts w:hint="eastAsia" w:ascii="仿宋" w:hAnsi="仿宋" w:eastAsia="仿宋" w:cs="仿宋"/>
          <w:color w:val="000000"/>
          <w:kern w:val="0"/>
          <w:sz w:val="32"/>
          <w:szCs w:val="32"/>
        </w:rPr>
        <w:t>万元。主要包括：其他工资福利支出</w:t>
      </w:r>
      <w:r>
        <w:rPr>
          <w:rFonts w:hint="eastAsia" w:ascii="仿宋" w:hAnsi="仿宋" w:eastAsia="仿宋" w:cs="仿宋"/>
          <w:color w:val="000000"/>
          <w:kern w:val="0"/>
          <w:sz w:val="32"/>
          <w:szCs w:val="32"/>
          <w:lang w:val="en-US" w:eastAsia="zh-CN"/>
        </w:rPr>
        <w:t>1.73万元</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说明：我单位有一名长期聘用人员，年初做预算聘用人员工资用于发放长期聘用人员工资及保险。</w:t>
      </w:r>
    </w:p>
    <w:p w14:paraId="79E3ADB5">
      <w:pPr>
        <w:widowControl/>
        <w:spacing w:before="240" w:after="240"/>
        <w:rPr>
          <w:rFonts w:eastAsia="Times New Roman"/>
          <w:kern w:val="0"/>
          <w:sz w:val="24"/>
        </w:rPr>
      </w:pPr>
      <w:r>
        <w:rPr>
          <w:rFonts w:hint="eastAsia" w:ascii="仿宋" w:hAnsi="仿宋" w:eastAsia="仿宋" w:cs="仿宋"/>
          <w:b/>
          <w:bCs/>
          <w:color w:val="000000"/>
          <w:kern w:val="0"/>
          <w:sz w:val="32"/>
          <w:szCs w:val="32"/>
        </w:rPr>
        <w:t>    （二）商品和服务支出</w:t>
      </w:r>
      <w:r>
        <w:rPr>
          <w:rFonts w:hint="eastAsia" w:ascii="仿宋" w:hAnsi="仿宋" w:eastAsia="仿宋" w:cs="仿宋"/>
          <w:b/>
          <w:bCs/>
          <w:color w:val="000000"/>
          <w:kern w:val="0"/>
          <w:sz w:val="32"/>
          <w:szCs w:val="32"/>
          <w:u w:val="single" w:color="000000"/>
        </w:rPr>
        <w:t xml:space="preserve"> 2.80</w:t>
      </w:r>
      <w:r>
        <w:rPr>
          <w:rFonts w:hint="eastAsia" w:ascii="仿宋" w:hAnsi="仿宋" w:eastAsia="仿宋" w:cs="仿宋"/>
          <w:color w:val="000000"/>
          <w:kern w:val="0"/>
          <w:sz w:val="32"/>
          <w:szCs w:val="32"/>
        </w:rPr>
        <w:t>万元。主要包括：委托业务费</w:t>
      </w:r>
      <w:r>
        <w:rPr>
          <w:rFonts w:hint="eastAsia" w:ascii="仿宋" w:hAnsi="仿宋" w:eastAsia="仿宋" w:cs="仿宋"/>
          <w:color w:val="000000"/>
          <w:kern w:val="0"/>
          <w:sz w:val="32"/>
          <w:szCs w:val="32"/>
          <w:lang w:val="en-US" w:eastAsia="zh-CN"/>
        </w:rPr>
        <w:t>1.8万元</w:t>
      </w:r>
      <w:r>
        <w:rPr>
          <w:rFonts w:hint="eastAsia" w:ascii="仿宋" w:hAnsi="仿宋" w:eastAsia="仿宋" w:cs="仿宋"/>
          <w:color w:val="000000"/>
          <w:kern w:val="0"/>
          <w:sz w:val="32"/>
          <w:szCs w:val="32"/>
        </w:rPr>
        <w:t>、其他商品和服务支出</w:t>
      </w:r>
      <w:r>
        <w:rPr>
          <w:rFonts w:hint="eastAsia" w:ascii="仿宋" w:hAnsi="仿宋" w:eastAsia="仿宋" w:cs="仿宋"/>
          <w:color w:val="000000"/>
          <w:kern w:val="0"/>
          <w:sz w:val="32"/>
          <w:szCs w:val="32"/>
          <w:lang w:val="en-US" w:eastAsia="zh-CN"/>
        </w:rPr>
        <w:t>1万元</w:t>
      </w:r>
      <w:r>
        <w:rPr>
          <w:rFonts w:hint="eastAsia" w:ascii="仿宋" w:hAnsi="仿宋" w:eastAsia="仿宋" w:cs="仿宋"/>
          <w:color w:val="000000"/>
          <w:kern w:val="0"/>
          <w:sz w:val="32"/>
          <w:szCs w:val="32"/>
        </w:rPr>
        <w:t>。</w:t>
      </w:r>
    </w:p>
    <w:p w14:paraId="57813EF9">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八、财政拨款“三公”经费支出决算情况说明</w:t>
      </w:r>
    </w:p>
    <w:p w14:paraId="4CEA41BD">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kern w:val="0"/>
          <w:sz w:val="27"/>
          <w:szCs w:val="27"/>
        </w:rPr>
        <w:t xml:space="preserve">    </w:t>
      </w:r>
      <w:r>
        <w:rPr>
          <w:rFonts w:hint="eastAsia" w:ascii="楷体" w:hAnsi="楷体" w:eastAsia="楷体" w:cs="楷体"/>
          <w:b/>
          <w:bCs/>
          <w:kern w:val="0"/>
          <w:sz w:val="32"/>
          <w:szCs w:val="32"/>
        </w:rPr>
        <w:t>（一）财政拨款“三公”经费支出总体情况说明。</w:t>
      </w:r>
    </w:p>
    <w:p w14:paraId="626008EB">
      <w:pPr>
        <w:widowControl/>
        <w:spacing w:before="240" w:after="240"/>
        <w:rPr>
          <w:rFonts w:hint="eastAsia" w:eastAsia="仿宋"/>
          <w:kern w:val="0"/>
          <w:sz w:val="24"/>
          <w:highlight w:val="yellow"/>
          <w:lang w:eastAsia="zh-CN"/>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乌海市卫生健康宣传教育中心 2024年度财政拨款“三公”经费全年预算</w:t>
      </w:r>
      <w:r>
        <w:rPr>
          <w:rFonts w:hint="eastAsia" w:ascii="仿宋" w:hAnsi="仿宋" w:eastAsia="仿宋" w:cs="仿宋"/>
          <w:color w:val="000000"/>
          <w:kern w:val="0"/>
          <w:sz w:val="32"/>
          <w:szCs w:val="32"/>
          <w:u w:val="single" w:color="000000"/>
        </w:rPr>
        <w:t xml:space="preserve"> 4.33</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26.05</w:t>
      </w:r>
      <w:r>
        <w:rPr>
          <w:rFonts w:hint="eastAsia" w:ascii="仿宋" w:hAnsi="仿宋" w:eastAsia="仿宋" w:cs="仿宋"/>
          <w:color w:val="000000"/>
          <w:kern w:val="0"/>
          <w:sz w:val="32"/>
          <w:szCs w:val="32"/>
        </w:rPr>
        <w:t>%。其中：因公出国（境）费全年预算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%；公务用车购置及运行维护费全年预算</w:t>
      </w:r>
      <w:r>
        <w:rPr>
          <w:rFonts w:hint="eastAsia" w:ascii="仿宋" w:hAnsi="仿宋" w:eastAsia="仿宋" w:cs="仿宋"/>
          <w:color w:val="000000"/>
          <w:kern w:val="0"/>
          <w:sz w:val="32"/>
          <w:szCs w:val="32"/>
          <w:u w:val="single" w:color="000000"/>
        </w:rPr>
        <w:t xml:space="preserve"> 4.33</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26.05</w:t>
      </w:r>
      <w:r>
        <w:rPr>
          <w:rFonts w:hint="eastAsia" w:ascii="仿宋" w:hAnsi="仿宋" w:eastAsia="仿宋" w:cs="仿宋"/>
          <w:color w:val="000000"/>
          <w:kern w:val="0"/>
          <w:sz w:val="32"/>
          <w:szCs w:val="32"/>
        </w:rPr>
        <w:t>%；公务接待费全年预算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u w:val="single" w:color="000000"/>
          <w:lang w:val="en-US" w:eastAsia="zh-CN"/>
        </w:rPr>
        <w:t xml:space="preserve"> </w:t>
      </w:r>
      <w:r>
        <w:rPr>
          <w:rFonts w:hint="eastAsia" w:ascii="仿宋" w:hAnsi="仿宋" w:eastAsia="仿宋" w:cs="仿宋"/>
          <w:color w:val="000000"/>
          <w:kern w:val="0"/>
          <w:sz w:val="32"/>
          <w:szCs w:val="32"/>
        </w:rPr>
        <w:t>%。2024年度一般公共预算财政拨款“三公”经费</w:t>
      </w:r>
      <w:r>
        <w:rPr>
          <w:rFonts w:hint="eastAsia" w:ascii="仿宋" w:hAnsi="仿宋" w:eastAsia="仿宋" w:cs="仿宋"/>
          <w:color w:val="000000"/>
          <w:kern w:val="0"/>
          <w:sz w:val="32"/>
          <w:szCs w:val="32"/>
          <w:lang w:val="en-US" w:eastAsia="zh-CN"/>
        </w:rPr>
        <w:t>支出决算与预算差异原因</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我</w:t>
      </w:r>
      <w:r>
        <w:rPr>
          <w:rFonts w:hint="eastAsia" w:ascii="仿宋" w:hAnsi="仿宋" w:eastAsia="仿宋" w:cs="仿宋"/>
          <w:color w:val="000000"/>
          <w:kern w:val="0"/>
          <w:sz w:val="32"/>
          <w:szCs w:val="32"/>
          <w:lang w:val="en-US" w:eastAsia="zh-CN"/>
        </w:rPr>
        <w:t>单位例行节约、支出只用于检车和公务用车维护费</w:t>
      </w:r>
      <w:r>
        <w:rPr>
          <w:rFonts w:hint="eastAsia" w:ascii="仿宋" w:hAnsi="仿宋" w:eastAsia="仿宋" w:cs="仿宋"/>
          <w:color w:val="000000"/>
          <w:kern w:val="0"/>
          <w:sz w:val="32"/>
          <w:szCs w:val="32"/>
        </w:rPr>
        <w:t>。</w:t>
      </w:r>
    </w:p>
    <w:p w14:paraId="5B9C9A17">
      <w:pPr>
        <w:widowControl/>
        <w:spacing w:before="240" w:after="240"/>
        <w:jc w:val="left"/>
        <w:rPr>
          <w:rFonts w:eastAsia="Times New Roman"/>
          <w:kern w:val="0"/>
          <w:sz w:val="24"/>
        </w:rPr>
      </w:pPr>
      <w:r>
        <w:rPr>
          <w:rFonts w:ascii="kai_ti_gb2312" w:hAnsi="kai_ti_gb2312" w:eastAsia="kai_ti_gb2312" w:cs="kai_ti_gb2312"/>
          <w:b/>
          <w:bCs/>
          <w:kern w:val="0"/>
          <w:sz w:val="27"/>
          <w:szCs w:val="27"/>
        </w:rPr>
        <w:t> </w:t>
      </w:r>
      <w:r>
        <w:rPr>
          <w:rFonts w:hint="eastAsia" w:ascii="仿宋" w:hAnsi="仿宋" w:eastAsia="仿宋" w:cs="仿宋"/>
          <w:b/>
          <w:bCs/>
          <w:kern w:val="0"/>
          <w:sz w:val="32"/>
          <w:szCs w:val="32"/>
        </w:rPr>
        <w:t xml:space="preserve">   （二）财政拨款“三公”经费支出具体情况说明。</w:t>
      </w:r>
    </w:p>
    <w:p w14:paraId="428B7EE4">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乌海市卫生健康宣传教育中心 2024年度财政拨款“三公”经费支出</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万元。因公出国（境）费支出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%；公务用车购置及运行维护费支出</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100.00</w:t>
      </w:r>
      <w:r>
        <w:rPr>
          <w:rFonts w:hint="eastAsia" w:ascii="仿宋" w:hAnsi="仿宋" w:eastAsia="仿宋" w:cs="仿宋"/>
          <w:color w:val="000000"/>
          <w:kern w:val="0"/>
          <w:sz w:val="32"/>
          <w:szCs w:val="32"/>
        </w:rPr>
        <w:t>%；公务接待费支出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%。其中：</w:t>
      </w:r>
    </w:p>
    <w:p w14:paraId="4C18F713">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1.因公出国（境）费支出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万元，全年出国（境）团组</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个，累计</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人次。与上年决算相比，增加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我单位无此项内容</w:t>
      </w:r>
      <w:r>
        <w:rPr>
          <w:rFonts w:hint="eastAsia" w:ascii="仿宋" w:hAnsi="仿宋" w:eastAsia="仿宋" w:cs="仿宋"/>
          <w:color w:val="000000"/>
          <w:kern w:val="0"/>
          <w:sz w:val="32"/>
          <w:szCs w:val="32"/>
        </w:rPr>
        <w:t>。</w:t>
      </w:r>
    </w:p>
    <w:p w14:paraId="31F7CFE4">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2.公务用车购置及运行维护费支出</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万元。其中：</w:t>
      </w:r>
    </w:p>
    <w:p w14:paraId="5EAD2E28">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（1）公务用车购置支出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万元。本年度使用财政拨款购置公务用车</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辆，开支内容：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我单位无此项内容</w:t>
      </w:r>
      <w:r>
        <w:rPr>
          <w:rFonts w:hint="eastAsia" w:ascii="仿宋" w:hAnsi="仿宋" w:eastAsia="仿宋" w:cs="仿宋"/>
          <w:color w:val="000000"/>
          <w:kern w:val="0"/>
          <w:sz w:val="32"/>
          <w:szCs w:val="32"/>
        </w:rPr>
        <w:t>。</w:t>
      </w:r>
    </w:p>
    <w:p w14:paraId="46BF9A51">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（2）公务用车运行维护费支出</w:t>
      </w:r>
      <w:r>
        <w:rPr>
          <w:rFonts w:hint="eastAsia" w:ascii="仿宋" w:hAnsi="仿宋" w:eastAsia="仿宋" w:cs="仿宋"/>
          <w:color w:val="000000"/>
          <w:kern w:val="0"/>
          <w:sz w:val="32"/>
          <w:szCs w:val="32"/>
          <w:u w:val="single" w:color="000000"/>
        </w:rPr>
        <w:t xml:space="preserve"> 1.13</w:t>
      </w:r>
      <w:r>
        <w:rPr>
          <w:rFonts w:hint="eastAsia" w:ascii="仿宋" w:hAnsi="仿宋" w:eastAsia="仿宋" w:cs="仿宋"/>
          <w:color w:val="000000"/>
          <w:kern w:val="0"/>
          <w:sz w:val="32"/>
          <w:szCs w:val="32"/>
        </w:rPr>
        <w:t>万元。公务用车运行维护费主要用于按规定保留的公务用车的燃料费、维修费、过桥过路费、保险费、安全奖励费用等支出。截至2024年12月31日，使用财政拨款开支的公务用车保有量为</w:t>
      </w:r>
      <w:r>
        <w:rPr>
          <w:rFonts w:hint="eastAsia" w:ascii="仿宋" w:hAnsi="仿宋" w:eastAsia="仿宋" w:cs="仿宋"/>
          <w:color w:val="000000"/>
          <w:kern w:val="0"/>
          <w:sz w:val="32"/>
          <w:szCs w:val="32"/>
          <w:u w:val="single" w:color="000000"/>
        </w:rPr>
        <w:t xml:space="preserve">3 </w:t>
      </w:r>
      <w:r>
        <w:rPr>
          <w:rFonts w:hint="eastAsia" w:ascii="仿宋" w:hAnsi="仿宋" w:eastAsia="仿宋" w:cs="仿宋"/>
          <w:color w:val="000000"/>
          <w:kern w:val="0"/>
          <w:sz w:val="32"/>
          <w:szCs w:val="32"/>
        </w:rPr>
        <w:t>辆。与上年决算相比，减少</w:t>
      </w:r>
      <w:r>
        <w:rPr>
          <w:rFonts w:hint="eastAsia" w:ascii="仿宋" w:hAnsi="仿宋" w:eastAsia="仿宋" w:cs="仿宋"/>
          <w:color w:val="000000"/>
          <w:kern w:val="0"/>
          <w:sz w:val="32"/>
          <w:szCs w:val="32"/>
          <w:u w:val="single" w:color="000000"/>
        </w:rPr>
        <w:t>3.18</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73.83</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eastAsia="zh-CN"/>
        </w:rPr>
        <w:t>我</w:t>
      </w:r>
      <w:r>
        <w:rPr>
          <w:rFonts w:hint="eastAsia" w:ascii="仿宋" w:hAnsi="仿宋" w:eastAsia="仿宋" w:cs="仿宋"/>
          <w:color w:val="000000"/>
          <w:kern w:val="0"/>
          <w:sz w:val="32"/>
          <w:szCs w:val="32"/>
          <w:lang w:val="en-US" w:eastAsia="zh-CN"/>
        </w:rPr>
        <w:t>单位例行节约、支出只用于检车和公务用车维护费</w:t>
      </w:r>
      <w:r>
        <w:rPr>
          <w:rFonts w:hint="eastAsia" w:ascii="仿宋" w:hAnsi="仿宋" w:eastAsia="仿宋" w:cs="仿宋"/>
          <w:color w:val="000000"/>
          <w:kern w:val="0"/>
          <w:sz w:val="32"/>
          <w:szCs w:val="32"/>
        </w:rPr>
        <w:t>。</w:t>
      </w:r>
    </w:p>
    <w:p w14:paraId="651D8242">
      <w:pPr>
        <w:widowControl/>
        <w:spacing w:before="240" w:after="240"/>
        <w:rPr>
          <w:rFonts w:eastAsia="Times New Roman"/>
          <w:kern w:val="0"/>
          <w:sz w:val="24"/>
        </w:rPr>
      </w:pPr>
      <w:r>
        <w:rPr>
          <w:rFonts w:hint="eastAsia" w:ascii="仿宋" w:hAnsi="仿宋" w:eastAsia="仿宋" w:cs="仿宋"/>
          <w:color w:val="000000"/>
          <w:kern w:val="0"/>
          <w:sz w:val="32"/>
          <w:szCs w:val="32"/>
        </w:rPr>
        <w:t>    3.公务接待费支出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万元。其中：国内公务接待支出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万元，接待</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批次，</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人次，开支内容：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；国（境）外公务接待支出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万元，接待</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批次，</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人次，开支内容：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。与上年决算相比，增加</w:t>
      </w:r>
      <w:r>
        <w:rPr>
          <w:rFonts w:hint="eastAsia" w:ascii="仿宋" w:hAnsi="仿宋" w:eastAsia="仿宋" w:cs="仿宋"/>
          <w:color w:val="000000"/>
          <w:kern w:val="0"/>
          <w:sz w:val="32"/>
          <w:szCs w:val="32"/>
          <w:u w:val="single" w:color="000000"/>
        </w:rPr>
        <w:t>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我单位无此项内容</w:t>
      </w:r>
      <w:r>
        <w:rPr>
          <w:rFonts w:hint="eastAsia" w:ascii="仿宋" w:hAnsi="仿宋" w:eastAsia="仿宋" w:cs="仿宋"/>
          <w:color w:val="000000"/>
          <w:kern w:val="0"/>
          <w:sz w:val="32"/>
          <w:szCs w:val="32"/>
        </w:rPr>
        <w:t>。</w:t>
      </w:r>
    </w:p>
    <w:p w14:paraId="2BD5D834">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九、政府性基金预算财政拨款支出决算情况说明</w:t>
      </w:r>
    </w:p>
    <w:p w14:paraId="4340B3F3">
      <w:pPr>
        <w:widowControl/>
        <w:spacing w:before="240" w:after="240"/>
        <w:rPr>
          <w:rFonts w:eastAsia="Times New Roman"/>
          <w:kern w:val="0"/>
          <w:sz w:val="24"/>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  乌海市卫生健康宣传教育中心 2024年度政府性基金预算财政拨款支出决算</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本年无政府性基金预算财政拨款收、支、余</w:t>
      </w:r>
      <w:r>
        <w:rPr>
          <w:rFonts w:hint="eastAsia" w:ascii="仿宋" w:hAnsi="仿宋" w:eastAsia="仿宋" w:cs="仿宋"/>
          <w:color w:val="000000"/>
          <w:kern w:val="0"/>
          <w:sz w:val="32"/>
          <w:szCs w:val="32"/>
        </w:rPr>
        <w:t>。</w:t>
      </w:r>
    </w:p>
    <w:p w14:paraId="121A7F4B">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32"/>
          <w:szCs w:val="32"/>
        </w:rPr>
        <w:t xml:space="preserve"> 十、国有资本经营预算财政拨款支出决算情况说明</w:t>
      </w:r>
    </w:p>
    <w:p w14:paraId="77FC6E24">
      <w:pPr>
        <w:widowControl/>
        <w:spacing w:before="240" w:after="240"/>
        <w:rPr>
          <w:rFonts w:hint="default" w:eastAsia="仿宋"/>
          <w:kern w:val="0"/>
          <w:sz w:val="24"/>
          <w:lang w:val="en-US" w:eastAsia="zh-CN"/>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乌海市卫生健康宣传教育中心 2024年度国有资本经营预算财政拨款支出决算</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万元。与上年决算相比，增加（减少）</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万元，增长（下降）</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本年无国有资金经营预算财政拨款收、支、余</w:t>
      </w:r>
      <w:r>
        <w:rPr>
          <w:rFonts w:hint="eastAsia" w:ascii="仿宋" w:hAnsi="仿宋" w:eastAsia="仿宋" w:cs="仿宋"/>
          <w:color w:val="000000"/>
          <w:kern w:val="0"/>
          <w:sz w:val="32"/>
          <w:szCs w:val="32"/>
        </w:rPr>
        <w:t>。</w:t>
      </w:r>
    </w:p>
    <w:p w14:paraId="47289AFF">
      <w:pPr>
        <w:widowControl/>
        <w:spacing w:before="240" w:after="240"/>
        <w:rPr>
          <w:rFonts w:hint="eastAsia" w:eastAsia="黑体"/>
          <w:kern w:val="0"/>
          <w:sz w:val="32"/>
          <w:szCs w:val="32"/>
          <w:highlight w:val="yellow"/>
          <w:lang w:eastAsia="zh-CN"/>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十一、机关运行经费</w:t>
      </w:r>
      <w:r>
        <w:rPr>
          <w:rFonts w:ascii="黑体" w:hAnsi="黑体" w:eastAsia="黑体" w:cs="黑体"/>
          <w:b/>
          <w:bCs/>
          <w:kern w:val="0"/>
          <w:sz w:val="32"/>
          <w:szCs w:val="32"/>
          <w:highlight w:val="none"/>
        </w:rPr>
        <w:t>（公用经费）</w:t>
      </w:r>
      <w:r>
        <w:rPr>
          <w:rFonts w:ascii="黑体" w:hAnsi="黑体" w:eastAsia="黑体" w:cs="黑体"/>
          <w:b/>
          <w:bCs/>
          <w:kern w:val="0"/>
          <w:sz w:val="32"/>
          <w:szCs w:val="32"/>
        </w:rPr>
        <w:t>支出决算情况说明</w:t>
      </w:r>
    </w:p>
    <w:p w14:paraId="5E945AFE">
      <w:pPr>
        <w:widowControl/>
        <w:spacing w:before="240" w:after="240"/>
        <w:ind w:firstLine="491"/>
        <w:rPr>
          <w:rFonts w:ascii="仿宋_GB2312" w:hAnsi="仿宋_GB2312" w:eastAsia="仿宋_GB2312" w:cs="仿宋_GB2312"/>
          <w:color w:val="1200FF"/>
          <w:kern w:val="0"/>
          <w:sz w:val="27"/>
          <w:szCs w:val="27"/>
        </w:rPr>
      </w:pPr>
      <w:r>
        <w:rPr>
          <w:rFonts w:hint="eastAsia" w:ascii="仿宋" w:hAnsi="仿宋" w:eastAsia="仿宋" w:cs="仿宋"/>
          <w:color w:val="000000"/>
          <w:kern w:val="0"/>
          <w:sz w:val="32"/>
          <w:szCs w:val="32"/>
        </w:rPr>
        <w:t>乌海市卫生健康宣传教育中心 2024年度</w:t>
      </w:r>
      <w:r>
        <w:rPr>
          <w:rFonts w:hint="eastAsia" w:ascii="仿宋" w:hAnsi="仿宋" w:eastAsia="仿宋" w:cs="仿宋"/>
          <w:color w:val="000000"/>
          <w:kern w:val="0"/>
          <w:sz w:val="32"/>
          <w:szCs w:val="32"/>
          <w:highlight w:val="none"/>
        </w:rPr>
        <w:t>公用经费</w:t>
      </w:r>
      <w:r>
        <w:rPr>
          <w:rFonts w:hint="eastAsia" w:ascii="仿宋" w:hAnsi="仿宋" w:eastAsia="仿宋" w:cs="仿宋"/>
          <w:color w:val="000000"/>
          <w:kern w:val="0"/>
          <w:sz w:val="32"/>
          <w:szCs w:val="32"/>
        </w:rPr>
        <w:t>支出决算</w:t>
      </w:r>
      <w:r>
        <w:rPr>
          <w:rFonts w:hint="eastAsia" w:ascii="仿宋" w:hAnsi="仿宋" w:eastAsia="仿宋" w:cs="仿宋"/>
          <w:color w:val="000000"/>
          <w:kern w:val="0"/>
          <w:sz w:val="32"/>
          <w:szCs w:val="32"/>
          <w:u w:val="single" w:color="000000"/>
        </w:rPr>
        <w:t xml:space="preserve"> 8.19</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1.89</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18.74</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我单位搬迁至市政府大楼，水电费等支出未发生</w:t>
      </w:r>
      <w:r>
        <w:rPr>
          <w:rFonts w:hint="eastAsia" w:ascii="仿宋" w:hAnsi="仿宋" w:eastAsia="仿宋" w:cs="仿宋"/>
          <w:color w:val="000000"/>
          <w:kern w:val="0"/>
          <w:sz w:val="32"/>
          <w:szCs w:val="32"/>
        </w:rPr>
        <w:t>。</w:t>
      </w:r>
      <w:r>
        <w:rPr>
          <w:rFonts w:ascii="仿宋_GB2312" w:hAnsi="仿宋_GB2312" w:eastAsia="仿宋_GB2312" w:cs="仿宋_GB2312"/>
          <w:color w:val="1200FF"/>
          <w:kern w:val="0"/>
          <w:sz w:val="27"/>
          <w:szCs w:val="27"/>
        </w:rPr>
        <w:t xml:space="preserve">  </w:t>
      </w:r>
    </w:p>
    <w:p w14:paraId="23DDAE16">
      <w:pPr>
        <w:widowControl/>
        <w:spacing w:before="240" w:after="240"/>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十二、政府采购支出决算情况说明</w:t>
      </w:r>
    </w:p>
    <w:p w14:paraId="4857B65A">
      <w:pPr>
        <w:widowControl/>
        <w:spacing w:before="240" w:after="240"/>
        <w:rPr>
          <w:rFonts w:eastAsia="Times New Roman"/>
          <w:kern w:val="0"/>
          <w:sz w:val="24"/>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乌海市卫生健康宣传教育中心 2024年度政府采购支出总额</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万元，其中：政府采购货物支出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万元、政府采购工程支出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万元、政府采购服务支出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万元。政府采购授予中小企业合同金额</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万元，占政府采购支出总额的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%，其中：授予小微企业合同金额</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万元，占政府采购支出总额的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%；货物采购授予中小企业合同金额占货物支出金额的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%，工程采购授予中小企业合同金额占工程支出金额的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%，服务采购授予中小企业合同金额占服务支出金额的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w:t>
      </w:r>
    </w:p>
    <w:p w14:paraId="7A36BD98">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十三、国有资产占用情况说明</w:t>
      </w:r>
    </w:p>
    <w:p w14:paraId="1F17E3EE">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 xml:space="preserve"> 乌海市卫生健康宣传教育中心 截至2024年12月31日，本单位共有车辆</w:t>
      </w:r>
      <w:r>
        <w:rPr>
          <w:rFonts w:hint="eastAsia" w:ascii="仿宋" w:hAnsi="仿宋" w:eastAsia="仿宋" w:cs="仿宋"/>
          <w:color w:val="000000"/>
          <w:kern w:val="0"/>
          <w:sz w:val="32"/>
          <w:szCs w:val="32"/>
          <w:u w:val="single" w:color="000000"/>
        </w:rPr>
        <w:t> 3</w:t>
      </w:r>
      <w:r>
        <w:rPr>
          <w:rFonts w:hint="eastAsia" w:ascii="仿宋" w:hAnsi="仿宋" w:eastAsia="仿宋" w:cs="仿宋"/>
          <w:color w:val="000000"/>
          <w:kern w:val="0"/>
          <w:sz w:val="32"/>
          <w:szCs w:val="32"/>
        </w:rPr>
        <w:t>辆，其中：副部（省）级及以上领导用车</w:t>
      </w:r>
      <w:r>
        <w:rPr>
          <w:rFonts w:hint="eastAsia" w:ascii="仿宋" w:hAnsi="仿宋" w:eastAsia="仿宋" w:cs="仿宋"/>
          <w:color w:val="000000"/>
          <w:kern w:val="0"/>
          <w:sz w:val="32"/>
          <w:szCs w:val="32"/>
          <w:u w:val="single" w:color="000000"/>
        </w:rPr>
        <w:t>0 </w:t>
      </w:r>
      <w:r>
        <w:rPr>
          <w:rFonts w:hint="eastAsia" w:ascii="仿宋" w:hAnsi="仿宋" w:eastAsia="仿宋" w:cs="仿宋"/>
          <w:color w:val="000000"/>
          <w:kern w:val="0"/>
          <w:sz w:val="32"/>
          <w:szCs w:val="32"/>
        </w:rPr>
        <w:t>辆、主要负责人用车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辆、机要通信用车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辆、应急保障用车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辆、执法执勤用车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辆、特种专业技术用车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辆、离退休干部服务用车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辆，其他用车</w:t>
      </w:r>
      <w:r>
        <w:rPr>
          <w:rFonts w:hint="eastAsia" w:ascii="仿宋" w:hAnsi="仿宋" w:eastAsia="仿宋" w:cs="仿宋"/>
          <w:color w:val="000000"/>
          <w:kern w:val="0"/>
          <w:sz w:val="32"/>
          <w:szCs w:val="32"/>
          <w:u w:val="single" w:color="000000"/>
        </w:rPr>
        <w:t> 3</w:t>
      </w:r>
      <w:r>
        <w:rPr>
          <w:rFonts w:hint="eastAsia" w:ascii="仿宋" w:hAnsi="仿宋" w:eastAsia="仿宋" w:cs="仿宋"/>
          <w:color w:val="000000"/>
          <w:kern w:val="0"/>
          <w:sz w:val="32"/>
          <w:szCs w:val="32"/>
        </w:rPr>
        <w:t>辆；单价100万元（含）以上的设备（不含车辆）</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台（套）。</w:t>
      </w:r>
    </w:p>
    <w:p w14:paraId="4061B48E">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十四、预算绩效情况说明</w:t>
      </w:r>
    </w:p>
    <w:p w14:paraId="783AE81E">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kern w:val="0"/>
          <w:sz w:val="27"/>
          <w:szCs w:val="27"/>
        </w:rPr>
        <w:t xml:space="preserve">    </w:t>
      </w:r>
      <w:r>
        <w:rPr>
          <w:rFonts w:hint="eastAsia" w:ascii="楷体" w:hAnsi="楷体" w:eastAsia="楷体" w:cs="楷体"/>
          <w:b/>
          <w:bCs/>
          <w:kern w:val="0"/>
          <w:sz w:val="32"/>
          <w:szCs w:val="32"/>
        </w:rPr>
        <w:t>（一）预算绩效管理工作开展情况。</w:t>
      </w:r>
    </w:p>
    <w:p w14:paraId="67768158">
      <w:pPr>
        <w:widowControl/>
        <w:spacing w:before="240" w:after="240"/>
        <w:rPr>
          <w:rFonts w:hint="eastAsia" w:eastAsia="仿宋"/>
          <w:kern w:val="0"/>
          <w:sz w:val="24"/>
          <w:lang w:eastAsia="zh-CN"/>
        </w:rPr>
      </w:pPr>
      <w:r>
        <w:rPr>
          <w:rFonts w:ascii="仿宋_GB2312" w:hAnsi="仿宋_GB2312" w:eastAsia="仿宋_GB2312" w:cs="仿宋_GB2312"/>
          <w:kern w:val="0"/>
          <w:sz w:val="27"/>
          <w:szCs w:val="27"/>
        </w:rPr>
        <w:t xml:space="preserve">    </w:t>
      </w:r>
      <w:r>
        <w:rPr>
          <w:rFonts w:ascii="仿宋_GB2312" w:hAnsi="仿宋_GB2312" w:eastAsia="仿宋_GB2312" w:cs="仿宋_GB2312"/>
          <w:color w:val="000000"/>
          <w:kern w:val="0"/>
          <w:sz w:val="27"/>
          <w:szCs w:val="27"/>
        </w:rPr>
        <w:t>乌</w:t>
      </w:r>
      <w:r>
        <w:rPr>
          <w:rFonts w:hint="eastAsia" w:ascii="仿宋" w:hAnsi="仿宋" w:eastAsia="仿宋" w:cs="仿宋"/>
          <w:color w:val="000000"/>
          <w:kern w:val="0"/>
          <w:sz w:val="32"/>
          <w:szCs w:val="32"/>
        </w:rPr>
        <w:t>海市卫生健康宣传教育中心 根据预算绩效管理要求组织对2024年一般公共预算项目支出全面开展绩效自评，其中一级项目</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个，二级项目</w:t>
      </w:r>
      <w:r>
        <w:rPr>
          <w:rFonts w:hint="eastAsia" w:ascii="仿宋" w:hAnsi="仿宋" w:eastAsia="仿宋" w:cs="仿宋"/>
          <w:color w:val="000000"/>
          <w:kern w:val="0"/>
          <w:sz w:val="32"/>
          <w:szCs w:val="32"/>
          <w:u w:val="single" w:color="000000"/>
          <w:lang w:val="en-US" w:eastAsia="zh-CN"/>
        </w:rPr>
        <w:t>2</w:t>
      </w:r>
      <w:r>
        <w:rPr>
          <w:rFonts w:hint="eastAsia" w:ascii="仿宋" w:hAnsi="仿宋" w:eastAsia="仿宋" w:cs="仿宋"/>
          <w:color w:val="000000"/>
          <w:kern w:val="0"/>
          <w:sz w:val="32"/>
          <w:szCs w:val="32"/>
        </w:rPr>
        <w:t>个，共涉及资金</w:t>
      </w:r>
      <w:r>
        <w:rPr>
          <w:rFonts w:hint="eastAsia" w:ascii="仿宋" w:hAnsi="仿宋" w:eastAsia="仿宋" w:cs="仿宋"/>
          <w:color w:val="000000"/>
          <w:kern w:val="0"/>
          <w:sz w:val="32"/>
          <w:szCs w:val="32"/>
          <w:u w:val="single" w:color="000000"/>
          <w:lang w:val="en-US" w:eastAsia="zh-CN"/>
        </w:rPr>
        <w:t>4.53</w:t>
      </w:r>
      <w:r>
        <w:rPr>
          <w:rFonts w:hint="eastAsia" w:ascii="仿宋" w:hAnsi="仿宋" w:eastAsia="仿宋" w:cs="仿宋"/>
          <w:color w:val="000000"/>
          <w:kern w:val="0"/>
          <w:sz w:val="32"/>
          <w:szCs w:val="32"/>
        </w:rPr>
        <w:t>万元，占一般公共预算项目支出总额的100%；政府性基金预算项目</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个，其中，一级项目</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个，二级项目</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个，共涉及资金</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万元，占应纳入绩效自评的政府性基金预算项目支出总额的</w:t>
      </w:r>
      <w:r>
        <w:rPr>
          <w:rFonts w:hint="eastAsia" w:ascii="仿宋" w:hAnsi="仿宋" w:eastAsia="仿宋" w:cs="仿宋"/>
          <w:color w:val="000000"/>
          <w:kern w:val="0"/>
          <w:sz w:val="32"/>
          <w:szCs w:val="32"/>
          <w:lang w:val="en-US" w:eastAsia="zh-CN"/>
        </w:rPr>
        <w:t>0</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eastAsia="zh-CN"/>
        </w:rPr>
        <w:t>。</w:t>
      </w:r>
    </w:p>
    <w:p w14:paraId="733C4995">
      <w:pPr>
        <w:widowControl/>
        <w:spacing w:before="240" w:after="240"/>
        <w:ind w:firstLine="480"/>
        <w:rPr>
          <w:rFonts w:eastAsia="Times New Roman"/>
          <w:kern w:val="0"/>
          <w:sz w:val="24"/>
        </w:rPr>
      </w:pPr>
      <w:r>
        <w:rPr>
          <w:rFonts w:ascii="仿宋_GB2312" w:hAnsi="仿宋_GB2312" w:eastAsia="仿宋_GB2312" w:cs="仿宋_GB2312"/>
          <w:color w:val="000000"/>
          <w:kern w:val="0"/>
          <w:sz w:val="27"/>
          <w:szCs w:val="27"/>
        </w:rPr>
        <w:t>   </w:t>
      </w:r>
      <w:r>
        <w:rPr>
          <w:rFonts w:hint="eastAsia" w:ascii="仿宋_GB2312" w:eastAsia="仿宋_GB2312" w:cs="仿宋_GB2312"/>
          <w:sz w:val="32"/>
          <w:szCs w:val="32"/>
        </w:rPr>
        <w:t>我单位</w:t>
      </w:r>
      <w:r>
        <w:rPr>
          <w:rFonts w:hint="eastAsia" w:ascii="仿宋_GB2312" w:cs="仿宋_GB2312"/>
          <w:sz w:val="32"/>
          <w:szCs w:val="32"/>
        </w:rPr>
        <w:t>2024年</w:t>
      </w:r>
      <w:r>
        <w:rPr>
          <w:rFonts w:hint="eastAsia" w:ascii="仿宋_GB2312" w:eastAsia="仿宋_GB2312" w:cs="仿宋_GB2312"/>
          <w:sz w:val="32"/>
          <w:szCs w:val="32"/>
        </w:rPr>
        <w:t>度未开展重点评价。</w:t>
      </w:r>
    </w:p>
    <w:p w14:paraId="7B309144">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（二）单位决算中项目绩效自评结果。</w:t>
      </w:r>
    </w:p>
    <w:p w14:paraId="1C91A49D">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乌海市卫生健康宣传教育中心 2024年度在决算中反映</w:t>
      </w:r>
      <w:r>
        <w:rPr>
          <w:rFonts w:hint="eastAsia" w:ascii="仿宋" w:hAnsi="仿宋" w:eastAsia="仿宋" w:cs="仿宋"/>
          <w:color w:val="000000"/>
          <w:kern w:val="0"/>
          <w:sz w:val="32"/>
          <w:szCs w:val="32"/>
          <w:u w:val="single" w:color="000000"/>
          <w:lang w:val="en-US" w:eastAsia="zh-CN"/>
        </w:rPr>
        <w:t>2</w:t>
      </w:r>
      <w:r>
        <w:rPr>
          <w:rFonts w:hint="eastAsia" w:ascii="仿宋" w:hAnsi="仿宋" w:eastAsia="仿宋" w:cs="仿宋"/>
          <w:color w:val="000000"/>
          <w:kern w:val="0"/>
          <w:sz w:val="32"/>
          <w:szCs w:val="32"/>
        </w:rPr>
        <w:t>个一般公共预算项目，以及</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个政府性基金项目，共</w:t>
      </w:r>
      <w:r>
        <w:rPr>
          <w:rFonts w:hint="eastAsia" w:ascii="仿宋" w:hAnsi="仿宋" w:eastAsia="仿宋" w:cs="仿宋"/>
          <w:color w:val="000000"/>
          <w:kern w:val="0"/>
          <w:sz w:val="32"/>
          <w:szCs w:val="32"/>
          <w:u w:val="single" w:color="000000"/>
          <w:lang w:val="en-US" w:eastAsia="zh-CN"/>
        </w:rPr>
        <w:t>2</w:t>
      </w:r>
      <w:r>
        <w:rPr>
          <w:rFonts w:hint="eastAsia" w:ascii="仿宋" w:hAnsi="仿宋" w:eastAsia="仿宋" w:cs="仿宋"/>
          <w:color w:val="000000"/>
          <w:kern w:val="0"/>
          <w:sz w:val="32"/>
          <w:szCs w:val="32"/>
        </w:rPr>
        <w:t>个项目的绩效自评结果。</w:t>
      </w:r>
    </w:p>
    <w:p w14:paraId="3CFC7D05">
      <w:pPr>
        <w:widowControl/>
        <w:spacing w:before="240" w:after="240"/>
        <w:rPr>
          <w:rFonts w:hint="eastAsia" w:ascii="仿宋" w:hAnsi="仿宋" w:eastAsia="仿宋" w:cs="仿宋"/>
          <w:color w:val="auto"/>
          <w:kern w:val="0"/>
          <w:sz w:val="32"/>
          <w:szCs w:val="32"/>
          <w:highlight w:val="yellow"/>
          <w:lang w:eastAsia="zh-CN"/>
        </w:rPr>
      </w:pPr>
      <w:r>
        <w:rPr>
          <w:rFonts w:ascii="仿宋_GB2312" w:hAnsi="仿宋_GB2312" w:eastAsia="仿宋_GB2312" w:cs="仿宋_GB2312"/>
          <w:color w:val="000000"/>
          <w:kern w:val="0"/>
          <w:sz w:val="27"/>
          <w:szCs w:val="27"/>
        </w:rPr>
        <w:t>   </w:t>
      </w:r>
      <w:r>
        <w:rPr>
          <w:rFonts w:hint="eastAsia" w:ascii="仿宋_GB2312" w:hAnsi="仿宋_GB2312" w:eastAsia="仿宋_GB2312" w:cs="仿宋_GB2312"/>
          <w:color w:val="000000"/>
          <w:kern w:val="0"/>
          <w:sz w:val="27"/>
          <w:szCs w:val="27"/>
          <w:lang w:val="en-US" w:eastAsia="zh-CN"/>
        </w:rPr>
        <w:t xml:space="preserve"> </w:t>
      </w:r>
      <w:r>
        <w:rPr>
          <w:rFonts w:hint="eastAsia" w:ascii="仿宋" w:hAnsi="仿宋" w:eastAsia="仿宋" w:cs="仿宋"/>
          <w:color w:val="000000"/>
          <w:kern w:val="0"/>
          <w:sz w:val="32"/>
          <w:szCs w:val="32"/>
        </w:rPr>
        <w:t> 1.</w:t>
      </w:r>
      <w:r>
        <w:rPr>
          <w:rFonts w:hint="eastAsia" w:ascii="仿宋" w:hAnsi="仿宋" w:eastAsia="仿宋" w:cs="仿宋"/>
          <w:color w:val="000000"/>
          <w:kern w:val="0"/>
          <w:sz w:val="32"/>
          <w:szCs w:val="32"/>
          <w:lang w:val="en-US" w:eastAsia="zh-CN"/>
        </w:rPr>
        <w:t>聘用人员工资</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97.86</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2.2</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1.73</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78.64</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年初预算用于支付聘用人员保险</w:t>
      </w:r>
      <w:r>
        <w:rPr>
          <w:rFonts w:hint="eastAsia" w:ascii="仿宋" w:hAnsi="仿宋" w:eastAsia="仿宋" w:cs="仿宋"/>
          <w:color w:val="000000"/>
          <w:kern w:val="0"/>
          <w:sz w:val="32"/>
          <w:szCs w:val="32"/>
        </w:rPr>
        <w:t>。发现的主要问题及原因</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工资少</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lang w:val="en-US" w:eastAsia="zh-CN"/>
        </w:rPr>
        <w:t>协调部门增加住房公积金缴费。</w:t>
      </w:r>
      <w:bookmarkStart w:id="1" w:name="_GoBack"/>
      <w:bookmarkEnd w:id="1"/>
    </w:p>
    <w:p w14:paraId="4D1D30ED">
      <w:pPr>
        <w:widowControl/>
        <w:spacing w:before="240" w:after="240"/>
        <w:rPr>
          <w:rFonts w:hint="eastAsia" w:ascii="仿宋" w:hAnsi="仿宋" w:eastAsia="仿宋" w:cs="仿宋"/>
          <w:color w:val="auto"/>
          <w:kern w:val="0"/>
          <w:sz w:val="32"/>
          <w:szCs w:val="32"/>
          <w:highlight w:val="none"/>
        </w:rPr>
      </w:pPr>
      <w:r>
        <w:rPr>
          <w:rFonts w:ascii="仿宋_GB2312" w:hAnsi="仿宋_GB2312" w:eastAsia="仿宋_GB2312" w:cs="仿宋_GB2312"/>
          <w:color w:val="000000"/>
          <w:kern w:val="0"/>
          <w:sz w:val="27"/>
          <w:szCs w:val="27"/>
        </w:rPr>
        <w:t xml:space="preserve">  </w:t>
      </w:r>
      <w:r>
        <w:rPr>
          <w:rFonts w:hint="eastAsia" w:ascii="仿宋_GB2312" w:hAnsi="仿宋_GB2312" w:eastAsia="仿宋_GB2312" w:cs="仿宋_GB2312"/>
          <w:color w:val="000000"/>
          <w:kern w:val="0"/>
          <w:sz w:val="27"/>
          <w:szCs w:val="27"/>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健康知识普及行动项目</w:t>
      </w:r>
      <w:r>
        <w:rPr>
          <w:rFonts w:hint="eastAsia" w:ascii="仿宋" w:hAnsi="仿宋" w:eastAsia="仿宋" w:cs="仿宋"/>
          <w:color w:val="000000"/>
          <w:kern w:val="0"/>
          <w:sz w:val="32"/>
          <w:szCs w:val="32"/>
        </w:rPr>
        <w:t>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2.8</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2.8</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用于支付健康宣传品</w:t>
      </w:r>
      <w:r>
        <w:rPr>
          <w:rFonts w:hint="eastAsia" w:ascii="仿宋" w:hAnsi="仿宋" w:eastAsia="仿宋" w:cs="仿宋"/>
          <w:color w:val="000000"/>
          <w:kern w:val="0"/>
          <w:sz w:val="32"/>
          <w:szCs w:val="32"/>
        </w:rPr>
        <w:t>。发现的主要问题及原因</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健康知识普及单一只用于购买宣传品，宣传方式单一</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highlight w:val="none"/>
          <w:lang w:val="en-US" w:eastAsia="zh-CN"/>
        </w:rPr>
        <w:t>加强全是健康促进与健康教育宣传，提高人民健康水平</w:t>
      </w:r>
      <w:r>
        <w:rPr>
          <w:rFonts w:hint="eastAsia" w:ascii="仿宋" w:hAnsi="仿宋" w:eastAsia="仿宋" w:cs="仿宋"/>
          <w:color w:val="auto"/>
          <w:kern w:val="0"/>
          <w:sz w:val="32"/>
          <w:szCs w:val="32"/>
          <w:highlight w:val="none"/>
        </w:rPr>
        <w:t>。</w:t>
      </w: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566"/>
        <w:gridCol w:w="659"/>
        <w:gridCol w:w="1097"/>
        <w:gridCol w:w="1753"/>
        <w:gridCol w:w="566"/>
        <w:gridCol w:w="574"/>
        <w:gridCol w:w="750"/>
        <w:gridCol w:w="886"/>
        <w:gridCol w:w="687"/>
        <w:gridCol w:w="454"/>
        <w:gridCol w:w="590"/>
        <w:gridCol w:w="1286"/>
      </w:tblGrid>
      <w:tr w14:paraId="23DFB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79B3CF9">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0431C6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0E04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78"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6FD6155">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聘用人员工资</w:t>
            </w:r>
          </w:p>
        </w:tc>
      </w:tr>
      <w:tr w14:paraId="6C664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C6B9F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02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16D4212">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E7681">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52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3860F9">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乌海市卫生健康宣传教育中心</w:t>
            </w:r>
          </w:p>
        </w:tc>
      </w:tr>
      <w:tr w14:paraId="1770A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F414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E832C">
            <w:pPr>
              <w:snapToGrid w:val="0"/>
              <w:rPr>
                <w:rFonts w:hint="eastAsia" w:ascii="宋体" w:hAnsi="宋体" w:eastAsia="宋体" w:cs="宋体"/>
                <w:i w:val="0"/>
                <w:iCs w:val="0"/>
                <w:color w:val="000000"/>
                <w:sz w:val="18"/>
                <w:szCs w:val="18"/>
                <w:u w:val="none"/>
              </w:rPr>
            </w:pP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B01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507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CD6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E64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C11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217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6B85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0480B">
            <w:pPr>
              <w:snapToGrid w:val="0"/>
              <w:jc w:val="center"/>
              <w:rPr>
                <w:rFonts w:hint="eastAsia" w:ascii="宋体" w:hAnsi="宋体" w:eastAsia="宋体" w:cs="宋体"/>
                <w:i w:val="0"/>
                <w:iCs w:val="0"/>
                <w:color w:val="000000"/>
                <w:sz w:val="18"/>
                <w:szCs w:val="18"/>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0DC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A508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5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C76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CE0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810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6483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786400</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1FAE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7.86</w:t>
            </w:r>
          </w:p>
        </w:tc>
      </w:tr>
      <w:tr w14:paraId="463E5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58B9F6">
            <w:pPr>
              <w:snapToGrid w:val="0"/>
              <w:jc w:val="center"/>
              <w:rPr>
                <w:rFonts w:hint="eastAsia" w:ascii="宋体" w:hAnsi="宋体" w:eastAsia="宋体" w:cs="宋体"/>
                <w:i w:val="0"/>
                <w:iCs w:val="0"/>
                <w:color w:val="000000"/>
                <w:sz w:val="18"/>
                <w:szCs w:val="18"/>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99EE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BD6BCF">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5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AAB5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804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3D7D1">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3637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786400</w:t>
            </w: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B927D">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57660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0D4914">
            <w:pPr>
              <w:snapToGrid w:val="0"/>
              <w:jc w:val="center"/>
              <w:rPr>
                <w:rFonts w:hint="eastAsia" w:ascii="宋体" w:hAnsi="宋体" w:eastAsia="宋体" w:cs="宋体"/>
                <w:i w:val="0"/>
                <w:iCs w:val="0"/>
                <w:color w:val="000000"/>
                <w:sz w:val="18"/>
                <w:szCs w:val="18"/>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B12C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B7D2D">
            <w:pPr>
              <w:snapToGrid w:val="0"/>
              <w:rPr>
                <w:rFonts w:hint="eastAsia" w:ascii="宋体" w:hAnsi="宋体" w:eastAsia="宋体" w:cs="宋体"/>
                <w:i w:val="0"/>
                <w:iCs w:val="0"/>
                <w:color w:val="000000"/>
                <w:sz w:val="18"/>
                <w:szCs w:val="18"/>
                <w:u w:val="none"/>
              </w:rPr>
            </w:pPr>
          </w:p>
        </w:tc>
        <w:tc>
          <w:tcPr>
            <w:tcW w:w="5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36363">
            <w:pPr>
              <w:snapToGrid w:val="0"/>
              <w:jc w:val="center"/>
              <w:rPr>
                <w:rFonts w:hint="eastAsia" w:ascii="宋体" w:hAnsi="宋体" w:eastAsia="宋体" w:cs="宋体"/>
                <w:i w:val="0"/>
                <w:iCs w:val="0"/>
                <w:color w:val="000000"/>
                <w:sz w:val="18"/>
                <w:szCs w:val="18"/>
                <w:u w:val="none"/>
              </w:rPr>
            </w:pP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5C3F6">
            <w:pPr>
              <w:snapToGrid w:val="0"/>
              <w:jc w:val="center"/>
              <w:rPr>
                <w:rFonts w:hint="eastAsia" w:ascii="宋体" w:hAnsi="宋体" w:eastAsia="宋体" w:cs="宋体"/>
                <w:i w:val="0"/>
                <w:iCs w:val="0"/>
                <w:color w:val="000000"/>
                <w:sz w:val="18"/>
                <w:szCs w:val="18"/>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BDB7">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8B90C7">
            <w:pPr>
              <w:snapToGrid w:val="0"/>
              <w:jc w:val="center"/>
              <w:rPr>
                <w:rFonts w:hint="eastAsia" w:ascii="宋体" w:hAnsi="宋体" w:eastAsia="宋体" w:cs="宋体"/>
                <w:i w:val="0"/>
                <w:iCs w:val="0"/>
                <w:color w:val="000000"/>
                <w:sz w:val="18"/>
                <w:szCs w:val="18"/>
                <w:u w:val="none"/>
              </w:rPr>
            </w:pP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1AE6">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9ED6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0DC1DD">
            <w:pPr>
              <w:snapToGrid w:val="0"/>
              <w:jc w:val="center"/>
              <w:rPr>
                <w:rFonts w:hint="eastAsia" w:ascii="宋体" w:hAnsi="宋体" w:eastAsia="宋体" w:cs="宋体"/>
                <w:i w:val="0"/>
                <w:iCs w:val="0"/>
                <w:color w:val="000000"/>
                <w:sz w:val="18"/>
                <w:szCs w:val="18"/>
                <w:u w:val="none"/>
              </w:rPr>
            </w:pP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475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4BC2D">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099F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C959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6255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F2C3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AAF61">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2E94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A571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40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A3C0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97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010F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459D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2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C951F">
            <w:pPr>
              <w:snapToGrid w:val="0"/>
              <w:jc w:val="center"/>
              <w:rPr>
                <w:rFonts w:hint="eastAsia" w:ascii="宋体" w:hAnsi="宋体" w:eastAsia="宋体" w:cs="宋体"/>
                <w:i w:val="0"/>
                <w:iCs w:val="0"/>
                <w:color w:val="000000"/>
                <w:sz w:val="18"/>
                <w:szCs w:val="18"/>
                <w:u w:val="none"/>
              </w:rPr>
            </w:pPr>
          </w:p>
        </w:tc>
        <w:tc>
          <w:tcPr>
            <w:tcW w:w="2402"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70A2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减轻工作人员家庭的经济负担提升生活品质。</w:t>
            </w:r>
          </w:p>
        </w:tc>
        <w:tc>
          <w:tcPr>
            <w:tcW w:w="197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8FEC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减轻工作人员家庭的经济负担提升生活品质。</w:t>
            </w:r>
          </w:p>
        </w:tc>
      </w:tr>
      <w:tr w14:paraId="19E10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B8B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2EF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5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BBD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A1F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E81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8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26BA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15A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647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F44A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EDE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AD7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8DAC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605A5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restart"/>
            <w:tcBorders>
              <w:top w:val="single" w:color="000000" w:sz="4" w:space="0"/>
              <w:left w:val="single" w:color="000000" w:sz="4" w:space="0"/>
              <w:bottom w:val="nil"/>
              <w:right w:val="single" w:color="000000" w:sz="4" w:space="0"/>
            </w:tcBorders>
            <w:shd w:val="clear" w:color="auto" w:fill="auto"/>
            <w:vAlign w:val="center"/>
          </w:tcPr>
          <w:p w14:paraId="22DB4F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33" w:type="pct"/>
            <w:vMerge w:val="restart"/>
            <w:tcBorders>
              <w:top w:val="single" w:color="000000" w:sz="4" w:space="0"/>
              <w:left w:val="single" w:color="000000" w:sz="4" w:space="0"/>
              <w:bottom w:val="nil"/>
              <w:right w:val="single" w:color="000000" w:sz="4" w:space="0"/>
            </w:tcBorders>
            <w:shd w:val="clear" w:color="auto" w:fill="auto"/>
            <w:vAlign w:val="center"/>
          </w:tcPr>
          <w:p w14:paraId="0F270C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56" w:type="pct"/>
            <w:vMerge w:val="restart"/>
            <w:tcBorders>
              <w:top w:val="single" w:color="000000" w:sz="4" w:space="0"/>
              <w:left w:val="single" w:color="000000" w:sz="4" w:space="0"/>
              <w:bottom w:val="nil"/>
              <w:right w:val="single" w:color="000000" w:sz="4" w:space="0"/>
            </w:tcBorders>
            <w:shd w:val="clear" w:color="auto" w:fill="auto"/>
            <w:vAlign w:val="center"/>
          </w:tcPr>
          <w:p w14:paraId="6F8DEE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0568D75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聘用人员数量</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398B23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47CF33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5618BF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1EF444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1C1101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7E455A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387ADC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75776226">
            <w:pPr>
              <w:snapToGrid w:val="0"/>
              <w:jc w:val="center"/>
              <w:rPr>
                <w:rFonts w:hint="eastAsia" w:ascii="宋体" w:hAnsi="宋体" w:eastAsia="宋体" w:cs="宋体"/>
                <w:i w:val="0"/>
                <w:iCs w:val="0"/>
                <w:color w:val="000000"/>
                <w:sz w:val="18"/>
                <w:szCs w:val="18"/>
                <w:u w:val="none"/>
              </w:rPr>
            </w:pPr>
          </w:p>
        </w:tc>
      </w:tr>
      <w:tr w14:paraId="5FD15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74D26FF5">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6AF4E380">
            <w:pPr>
              <w:snapToGrid w:val="0"/>
              <w:jc w:val="center"/>
              <w:rPr>
                <w:rFonts w:hint="eastAsia" w:ascii="宋体" w:hAnsi="宋体" w:eastAsia="宋体" w:cs="宋体"/>
                <w:i w:val="0"/>
                <w:iCs w:val="0"/>
                <w:color w:val="000000"/>
                <w:sz w:val="18"/>
                <w:szCs w:val="18"/>
                <w:u w:val="none"/>
              </w:rPr>
            </w:pPr>
          </w:p>
        </w:tc>
        <w:tc>
          <w:tcPr>
            <w:tcW w:w="556" w:type="pct"/>
            <w:vMerge w:val="continue"/>
            <w:tcBorders>
              <w:top w:val="single" w:color="000000" w:sz="4" w:space="0"/>
              <w:left w:val="single" w:color="000000" w:sz="4" w:space="0"/>
              <w:bottom w:val="nil"/>
              <w:right w:val="single" w:color="000000" w:sz="4" w:space="0"/>
            </w:tcBorders>
            <w:shd w:val="clear" w:color="auto" w:fill="auto"/>
            <w:vAlign w:val="center"/>
          </w:tcPr>
          <w:p w14:paraId="0DE61D3F">
            <w:pPr>
              <w:snapToGrid w:val="0"/>
              <w:jc w:val="center"/>
              <w:rPr>
                <w:rFonts w:hint="eastAsia" w:ascii="宋体" w:hAnsi="宋体" w:eastAsia="宋体" w:cs="宋体"/>
                <w:i w:val="0"/>
                <w:iCs w:val="0"/>
                <w:color w:val="000000"/>
                <w:sz w:val="18"/>
                <w:szCs w:val="18"/>
                <w:u w:val="none"/>
              </w:rPr>
            </w:pPr>
          </w:p>
        </w:tc>
        <w:tc>
          <w:tcPr>
            <w:tcW w:w="888" w:type="pct"/>
            <w:tcBorders>
              <w:top w:val="single" w:color="000000" w:sz="4" w:space="0"/>
              <w:left w:val="single" w:color="000000" w:sz="4" w:space="0"/>
              <w:bottom w:val="nil"/>
              <w:right w:val="single" w:color="000000" w:sz="4" w:space="0"/>
            </w:tcBorders>
            <w:shd w:val="clear" w:color="auto" w:fill="auto"/>
            <w:vAlign w:val="center"/>
          </w:tcPr>
          <w:p w14:paraId="56E2A4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工资发放月数</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59E02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798CCE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599BCC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13E169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281DB7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个月</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63E45E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75B4F0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33DED7E0">
            <w:pPr>
              <w:snapToGrid w:val="0"/>
              <w:jc w:val="center"/>
              <w:rPr>
                <w:rFonts w:hint="eastAsia" w:ascii="宋体" w:hAnsi="宋体" w:eastAsia="宋体" w:cs="宋体"/>
                <w:i w:val="0"/>
                <w:iCs w:val="0"/>
                <w:color w:val="000000"/>
                <w:sz w:val="18"/>
                <w:szCs w:val="18"/>
                <w:u w:val="none"/>
              </w:rPr>
            </w:pPr>
          </w:p>
        </w:tc>
      </w:tr>
      <w:tr w14:paraId="26904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46A0C20E">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7EAFF972">
            <w:pPr>
              <w:snapToGrid w:val="0"/>
              <w:jc w:val="center"/>
              <w:rPr>
                <w:rFonts w:hint="eastAsia" w:ascii="宋体" w:hAnsi="宋体" w:eastAsia="宋体" w:cs="宋体"/>
                <w:i w:val="0"/>
                <w:iCs w:val="0"/>
                <w:color w:val="000000"/>
                <w:sz w:val="18"/>
                <w:szCs w:val="18"/>
                <w:u w:val="none"/>
              </w:rPr>
            </w:pPr>
          </w:p>
        </w:tc>
        <w:tc>
          <w:tcPr>
            <w:tcW w:w="556" w:type="pct"/>
            <w:vMerge w:val="restart"/>
            <w:tcBorders>
              <w:top w:val="single" w:color="000000" w:sz="4" w:space="0"/>
              <w:left w:val="single" w:color="000000" w:sz="4" w:space="0"/>
              <w:bottom w:val="nil"/>
              <w:right w:val="single" w:color="000000" w:sz="4" w:space="0"/>
            </w:tcBorders>
            <w:shd w:val="clear" w:color="auto" w:fill="auto"/>
            <w:vAlign w:val="center"/>
          </w:tcPr>
          <w:p w14:paraId="0F586E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1C193F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工资发放率</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3D24DD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65C293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47C5CD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6E3C47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6DCACD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501F74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31D6C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41DA202D">
            <w:pPr>
              <w:snapToGrid w:val="0"/>
              <w:jc w:val="center"/>
              <w:rPr>
                <w:rFonts w:hint="eastAsia" w:ascii="宋体" w:hAnsi="宋体" w:eastAsia="宋体" w:cs="宋体"/>
                <w:i w:val="0"/>
                <w:iCs w:val="0"/>
                <w:color w:val="000000"/>
                <w:sz w:val="18"/>
                <w:szCs w:val="18"/>
                <w:u w:val="none"/>
              </w:rPr>
            </w:pPr>
          </w:p>
        </w:tc>
      </w:tr>
      <w:tr w14:paraId="16FB2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0B8789E3">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09BB8C47">
            <w:pPr>
              <w:snapToGrid w:val="0"/>
              <w:jc w:val="center"/>
              <w:rPr>
                <w:rFonts w:hint="eastAsia" w:ascii="宋体" w:hAnsi="宋体" w:eastAsia="宋体" w:cs="宋体"/>
                <w:i w:val="0"/>
                <w:iCs w:val="0"/>
                <w:color w:val="000000"/>
                <w:sz w:val="18"/>
                <w:szCs w:val="18"/>
                <w:u w:val="none"/>
              </w:rPr>
            </w:pPr>
          </w:p>
        </w:tc>
        <w:tc>
          <w:tcPr>
            <w:tcW w:w="556" w:type="pct"/>
            <w:vMerge w:val="continue"/>
            <w:tcBorders>
              <w:top w:val="single" w:color="000000" w:sz="4" w:space="0"/>
              <w:left w:val="single" w:color="000000" w:sz="4" w:space="0"/>
              <w:bottom w:val="nil"/>
              <w:right w:val="single" w:color="000000" w:sz="4" w:space="0"/>
            </w:tcBorders>
            <w:shd w:val="clear" w:color="auto" w:fill="auto"/>
            <w:vAlign w:val="center"/>
          </w:tcPr>
          <w:p w14:paraId="4D1E11F0">
            <w:pPr>
              <w:snapToGrid w:val="0"/>
              <w:jc w:val="center"/>
              <w:rPr>
                <w:rFonts w:hint="eastAsia" w:ascii="宋体" w:hAnsi="宋体" w:eastAsia="宋体" w:cs="宋体"/>
                <w:i w:val="0"/>
                <w:iCs w:val="0"/>
                <w:color w:val="000000"/>
                <w:sz w:val="18"/>
                <w:szCs w:val="18"/>
                <w:u w:val="none"/>
              </w:rPr>
            </w:pPr>
          </w:p>
        </w:tc>
        <w:tc>
          <w:tcPr>
            <w:tcW w:w="888" w:type="pct"/>
            <w:tcBorders>
              <w:top w:val="single" w:color="000000" w:sz="4" w:space="0"/>
              <w:left w:val="single" w:color="000000" w:sz="4" w:space="0"/>
              <w:bottom w:val="nil"/>
              <w:right w:val="single" w:color="000000" w:sz="4" w:space="0"/>
            </w:tcBorders>
            <w:shd w:val="clear" w:color="auto" w:fill="auto"/>
            <w:vAlign w:val="center"/>
          </w:tcPr>
          <w:p w14:paraId="12690A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保险缴费率</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4039AB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343A8A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20B8D0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1B97D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56F2B7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62C5DF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66C12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09C2E587">
            <w:pPr>
              <w:snapToGrid w:val="0"/>
              <w:jc w:val="center"/>
              <w:rPr>
                <w:rFonts w:hint="eastAsia" w:ascii="宋体" w:hAnsi="宋体" w:eastAsia="宋体" w:cs="宋体"/>
                <w:i w:val="0"/>
                <w:iCs w:val="0"/>
                <w:color w:val="000000"/>
                <w:sz w:val="18"/>
                <w:szCs w:val="18"/>
                <w:u w:val="none"/>
              </w:rPr>
            </w:pPr>
          </w:p>
        </w:tc>
      </w:tr>
      <w:tr w14:paraId="29C0D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706A5DCC">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1627FC12">
            <w:pPr>
              <w:snapToGrid w:val="0"/>
              <w:jc w:val="center"/>
              <w:rPr>
                <w:rFonts w:hint="eastAsia" w:ascii="宋体" w:hAnsi="宋体" w:eastAsia="宋体" w:cs="宋体"/>
                <w:i w:val="0"/>
                <w:iCs w:val="0"/>
                <w:color w:val="000000"/>
                <w:sz w:val="18"/>
                <w:szCs w:val="18"/>
                <w:u w:val="none"/>
              </w:rPr>
            </w:pPr>
          </w:p>
        </w:tc>
        <w:tc>
          <w:tcPr>
            <w:tcW w:w="556" w:type="pct"/>
            <w:vMerge w:val="restart"/>
            <w:tcBorders>
              <w:top w:val="single" w:color="000000" w:sz="4" w:space="0"/>
              <w:left w:val="single" w:color="000000" w:sz="4" w:space="0"/>
              <w:bottom w:val="nil"/>
              <w:right w:val="single" w:color="000000" w:sz="4" w:space="0"/>
            </w:tcBorders>
            <w:shd w:val="clear" w:color="auto" w:fill="auto"/>
            <w:vAlign w:val="center"/>
          </w:tcPr>
          <w:p w14:paraId="49FB01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21529E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每月工资发放时间</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20EFAC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2EF4FB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22CFF5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785C45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741C3C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号/每月</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3388C0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3F2329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1B9B74DC">
            <w:pPr>
              <w:snapToGrid w:val="0"/>
              <w:jc w:val="center"/>
              <w:rPr>
                <w:rFonts w:hint="eastAsia" w:ascii="宋体" w:hAnsi="宋体" w:eastAsia="宋体" w:cs="宋体"/>
                <w:i w:val="0"/>
                <w:iCs w:val="0"/>
                <w:color w:val="000000"/>
                <w:sz w:val="18"/>
                <w:szCs w:val="18"/>
                <w:u w:val="none"/>
              </w:rPr>
            </w:pPr>
          </w:p>
        </w:tc>
      </w:tr>
      <w:tr w14:paraId="09013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76D5349A">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203C9679">
            <w:pPr>
              <w:snapToGrid w:val="0"/>
              <w:jc w:val="center"/>
              <w:rPr>
                <w:rFonts w:hint="eastAsia" w:ascii="宋体" w:hAnsi="宋体" w:eastAsia="宋体" w:cs="宋体"/>
                <w:i w:val="0"/>
                <w:iCs w:val="0"/>
                <w:color w:val="000000"/>
                <w:sz w:val="18"/>
                <w:szCs w:val="18"/>
                <w:u w:val="none"/>
              </w:rPr>
            </w:pPr>
          </w:p>
        </w:tc>
        <w:tc>
          <w:tcPr>
            <w:tcW w:w="556" w:type="pct"/>
            <w:vMerge w:val="continue"/>
            <w:tcBorders>
              <w:top w:val="single" w:color="000000" w:sz="4" w:space="0"/>
              <w:left w:val="single" w:color="000000" w:sz="4" w:space="0"/>
              <w:bottom w:val="nil"/>
              <w:right w:val="single" w:color="000000" w:sz="4" w:space="0"/>
            </w:tcBorders>
            <w:shd w:val="clear" w:color="auto" w:fill="auto"/>
            <w:vAlign w:val="center"/>
          </w:tcPr>
          <w:p w14:paraId="370FDBC5">
            <w:pPr>
              <w:snapToGrid w:val="0"/>
              <w:jc w:val="center"/>
              <w:rPr>
                <w:rFonts w:hint="eastAsia" w:ascii="宋体" w:hAnsi="宋体" w:eastAsia="宋体" w:cs="宋体"/>
                <w:i w:val="0"/>
                <w:iCs w:val="0"/>
                <w:color w:val="000000"/>
                <w:sz w:val="18"/>
                <w:szCs w:val="18"/>
                <w:u w:val="none"/>
              </w:rPr>
            </w:pPr>
          </w:p>
        </w:tc>
        <w:tc>
          <w:tcPr>
            <w:tcW w:w="888" w:type="pct"/>
            <w:tcBorders>
              <w:top w:val="single" w:color="000000" w:sz="4" w:space="0"/>
              <w:left w:val="single" w:color="000000" w:sz="4" w:space="0"/>
              <w:bottom w:val="nil"/>
              <w:right w:val="single" w:color="000000" w:sz="4" w:space="0"/>
            </w:tcBorders>
            <w:shd w:val="clear" w:color="auto" w:fill="auto"/>
            <w:vAlign w:val="center"/>
          </w:tcPr>
          <w:p w14:paraId="7333F7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保险核定时间</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5824235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6EB8CA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1EB89B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4E2D1E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707382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号/每月</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5D24D7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439010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2198343F">
            <w:pPr>
              <w:snapToGrid w:val="0"/>
              <w:jc w:val="center"/>
              <w:rPr>
                <w:rFonts w:hint="eastAsia" w:ascii="宋体" w:hAnsi="宋体" w:eastAsia="宋体" w:cs="宋体"/>
                <w:i w:val="0"/>
                <w:iCs w:val="0"/>
                <w:color w:val="000000"/>
                <w:sz w:val="18"/>
                <w:szCs w:val="18"/>
                <w:u w:val="none"/>
              </w:rPr>
            </w:pPr>
          </w:p>
        </w:tc>
      </w:tr>
      <w:tr w14:paraId="701E9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06309EEA">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0486BA19">
            <w:pPr>
              <w:snapToGrid w:val="0"/>
              <w:jc w:val="center"/>
              <w:rPr>
                <w:rFonts w:hint="eastAsia" w:ascii="宋体" w:hAnsi="宋体" w:eastAsia="宋体" w:cs="宋体"/>
                <w:i w:val="0"/>
                <w:iCs w:val="0"/>
                <w:color w:val="000000"/>
                <w:sz w:val="18"/>
                <w:szCs w:val="18"/>
                <w:u w:val="none"/>
              </w:rPr>
            </w:pPr>
          </w:p>
        </w:tc>
        <w:tc>
          <w:tcPr>
            <w:tcW w:w="556" w:type="pct"/>
            <w:vMerge w:val="restart"/>
            <w:tcBorders>
              <w:top w:val="single" w:color="000000" w:sz="4" w:space="0"/>
              <w:left w:val="single" w:color="000000" w:sz="4" w:space="0"/>
              <w:bottom w:val="nil"/>
              <w:right w:val="single" w:color="000000" w:sz="4" w:space="0"/>
            </w:tcBorders>
            <w:shd w:val="clear" w:color="auto" w:fill="auto"/>
            <w:vAlign w:val="center"/>
          </w:tcPr>
          <w:p w14:paraId="147533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1E43EE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每月工资成本</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49AFA3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725704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53664E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514564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5200.00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46D651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091714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9D0F57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3EB49A01">
            <w:pPr>
              <w:snapToGrid w:val="0"/>
              <w:jc w:val="center"/>
              <w:rPr>
                <w:rFonts w:hint="eastAsia" w:ascii="宋体" w:hAnsi="宋体" w:eastAsia="宋体" w:cs="宋体"/>
                <w:i w:val="0"/>
                <w:iCs w:val="0"/>
                <w:color w:val="000000"/>
                <w:sz w:val="18"/>
                <w:szCs w:val="18"/>
                <w:u w:val="none"/>
              </w:rPr>
            </w:pPr>
          </w:p>
        </w:tc>
      </w:tr>
      <w:tr w14:paraId="0B9BC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44032688">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7F582077">
            <w:pPr>
              <w:snapToGrid w:val="0"/>
              <w:jc w:val="center"/>
              <w:rPr>
                <w:rFonts w:hint="eastAsia" w:ascii="宋体" w:hAnsi="宋体" w:eastAsia="宋体" w:cs="宋体"/>
                <w:i w:val="0"/>
                <w:iCs w:val="0"/>
                <w:color w:val="000000"/>
                <w:sz w:val="18"/>
                <w:szCs w:val="18"/>
                <w:u w:val="none"/>
              </w:rPr>
            </w:pPr>
          </w:p>
        </w:tc>
        <w:tc>
          <w:tcPr>
            <w:tcW w:w="556" w:type="pct"/>
            <w:vMerge w:val="continue"/>
            <w:tcBorders>
              <w:top w:val="single" w:color="000000" w:sz="4" w:space="0"/>
              <w:left w:val="single" w:color="000000" w:sz="4" w:space="0"/>
              <w:bottom w:val="nil"/>
              <w:right w:val="single" w:color="000000" w:sz="4" w:space="0"/>
            </w:tcBorders>
            <w:shd w:val="clear" w:color="auto" w:fill="auto"/>
            <w:vAlign w:val="center"/>
          </w:tcPr>
          <w:p w14:paraId="2387AAE4">
            <w:pPr>
              <w:snapToGrid w:val="0"/>
              <w:jc w:val="center"/>
              <w:rPr>
                <w:rFonts w:hint="eastAsia" w:ascii="宋体" w:hAnsi="宋体" w:eastAsia="宋体" w:cs="宋体"/>
                <w:i w:val="0"/>
                <w:iCs w:val="0"/>
                <w:color w:val="000000"/>
                <w:sz w:val="18"/>
                <w:szCs w:val="18"/>
                <w:u w:val="none"/>
              </w:rPr>
            </w:pPr>
          </w:p>
        </w:tc>
        <w:tc>
          <w:tcPr>
            <w:tcW w:w="888" w:type="pct"/>
            <w:tcBorders>
              <w:top w:val="single" w:color="000000" w:sz="4" w:space="0"/>
              <w:left w:val="single" w:color="000000" w:sz="4" w:space="0"/>
              <w:bottom w:val="nil"/>
              <w:right w:val="single" w:color="000000" w:sz="4" w:space="0"/>
            </w:tcBorders>
            <w:shd w:val="clear" w:color="auto" w:fill="auto"/>
            <w:vAlign w:val="center"/>
          </w:tcPr>
          <w:p w14:paraId="32C323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总成本</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428F42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1B9CD3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22F25C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2A5F81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6675A08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21CD18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5FBD60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33084A3B">
            <w:pPr>
              <w:snapToGrid w:val="0"/>
              <w:jc w:val="center"/>
              <w:rPr>
                <w:rFonts w:hint="eastAsia" w:ascii="宋体" w:hAnsi="宋体" w:eastAsia="宋体" w:cs="宋体"/>
                <w:i w:val="0"/>
                <w:iCs w:val="0"/>
                <w:color w:val="000000"/>
                <w:sz w:val="18"/>
                <w:szCs w:val="18"/>
                <w:u w:val="none"/>
              </w:rPr>
            </w:pPr>
          </w:p>
        </w:tc>
      </w:tr>
      <w:tr w14:paraId="72226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0F15C0C1">
            <w:pPr>
              <w:snapToGrid w:val="0"/>
              <w:jc w:val="center"/>
              <w:rPr>
                <w:rFonts w:hint="eastAsia" w:ascii="宋体" w:hAnsi="宋体" w:eastAsia="宋体" w:cs="宋体"/>
                <w:i w:val="0"/>
                <w:iCs w:val="0"/>
                <w:color w:val="000000"/>
                <w:sz w:val="18"/>
                <w:szCs w:val="18"/>
                <w:u w:val="none"/>
              </w:rPr>
            </w:pPr>
          </w:p>
        </w:tc>
        <w:tc>
          <w:tcPr>
            <w:tcW w:w="333" w:type="pct"/>
            <w:vMerge w:val="restart"/>
            <w:tcBorders>
              <w:top w:val="single" w:color="000000" w:sz="4" w:space="0"/>
              <w:left w:val="single" w:color="000000" w:sz="4" w:space="0"/>
              <w:bottom w:val="nil"/>
              <w:right w:val="single" w:color="000000" w:sz="4" w:space="0"/>
            </w:tcBorders>
            <w:shd w:val="clear" w:color="auto" w:fill="auto"/>
            <w:vAlign w:val="center"/>
          </w:tcPr>
          <w:p w14:paraId="083CCC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56" w:type="pct"/>
            <w:tcBorders>
              <w:top w:val="single" w:color="000000" w:sz="4" w:space="0"/>
              <w:left w:val="single" w:color="000000" w:sz="4" w:space="0"/>
              <w:bottom w:val="nil"/>
              <w:right w:val="single" w:color="000000" w:sz="4" w:space="0"/>
            </w:tcBorders>
            <w:shd w:val="clear" w:color="auto" w:fill="auto"/>
            <w:vAlign w:val="center"/>
          </w:tcPr>
          <w:p w14:paraId="099240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70B983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聘用人员生活得到基本保障</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1552F4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5AF6B81E">
            <w:pPr>
              <w:snapToGrid w:val="0"/>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15F92A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减轻</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269CD1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13621058">
            <w:pPr>
              <w:snapToGrid w:val="0"/>
              <w:jc w:val="center"/>
              <w:rPr>
                <w:rFonts w:hint="eastAsia" w:ascii="宋体" w:hAnsi="宋体" w:eastAsia="宋体" w:cs="宋体"/>
                <w:i w:val="0"/>
                <w:iCs w:val="0"/>
                <w:color w:val="000000"/>
                <w:sz w:val="18"/>
                <w:szCs w:val="18"/>
                <w:u w:val="none"/>
              </w:rPr>
            </w:pPr>
          </w:p>
        </w:tc>
        <w:tc>
          <w:tcPr>
            <w:tcW w:w="230" w:type="pct"/>
            <w:tcBorders>
              <w:top w:val="single" w:color="000000" w:sz="4" w:space="0"/>
              <w:left w:val="single" w:color="000000" w:sz="4" w:space="0"/>
              <w:bottom w:val="nil"/>
              <w:right w:val="single" w:color="000000" w:sz="4" w:space="0"/>
            </w:tcBorders>
            <w:shd w:val="clear" w:color="auto" w:fill="auto"/>
            <w:vAlign w:val="center"/>
          </w:tcPr>
          <w:p w14:paraId="18AAC1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33561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5BBC84DB">
            <w:pPr>
              <w:snapToGrid w:val="0"/>
              <w:jc w:val="center"/>
              <w:rPr>
                <w:rFonts w:hint="eastAsia" w:ascii="宋体" w:hAnsi="宋体" w:eastAsia="宋体" w:cs="宋体"/>
                <w:i w:val="0"/>
                <w:iCs w:val="0"/>
                <w:color w:val="000000"/>
                <w:sz w:val="18"/>
                <w:szCs w:val="18"/>
                <w:u w:val="none"/>
              </w:rPr>
            </w:pPr>
          </w:p>
        </w:tc>
      </w:tr>
      <w:tr w14:paraId="20526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6F21BC91">
            <w:pPr>
              <w:snapToGrid w:val="0"/>
              <w:jc w:val="center"/>
              <w:rPr>
                <w:rFonts w:hint="eastAsia" w:ascii="宋体" w:hAnsi="宋体" w:eastAsia="宋体" w:cs="宋体"/>
                <w:i w:val="0"/>
                <w:iCs w:val="0"/>
                <w:color w:val="000000"/>
                <w:sz w:val="18"/>
                <w:szCs w:val="18"/>
                <w:u w:val="none"/>
              </w:rPr>
            </w:pPr>
          </w:p>
        </w:tc>
        <w:tc>
          <w:tcPr>
            <w:tcW w:w="333" w:type="pct"/>
            <w:vMerge w:val="continue"/>
            <w:tcBorders>
              <w:top w:val="single" w:color="000000" w:sz="4" w:space="0"/>
              <w:left w:val="single" w:color="000000" w:sz="4" w:space="0"/>
              <w:bottom w:val="nil"/>
              <w:right w:val="single" w:color="000000" w:sz="4" w:space="0"/>
            </w:tcBorders>
            <w:shd w:val="clear" w:color="auto" w:fill="auto"/>
            <w:vAlign w:val="center"/>
          </w:tcPr>
          <w:p w14:paraId="13C315BA">
            <w:pPr>
              <w:snapToGrid w:val="0"/>
              <w:jc w:val="center"/>
              <w:rPr>
                <w:rFonts w:hint="eastAsia" w:ascii="宋体" w:hAnsi="宋体" w:eastAsia="宋体" w:cs="宋体"/>
                <w:i w:val="0"/>
                <w:iCs w:val="0"/>
                <w:color w:val="000000"/>
                <w:sz w:val="18"/>
                <w:szCs w:val="18"/>
                <w:u w:val="none"/>
              </w:rPr>
            </w:pPr>
          </w:p>
        </w:tc>
        <w:tc>
          <w:tcPr>
            <w:tcW w:w="556" w:type="pct"/>
            <w:tcBorders>
              <w:top w:val="single" w:color="000000" w:sz="4" w:space="0"/>
              <w:left w:val="single" w:color="000000" w:sz="4" w:space="0"/>
              <w:bottom w:val="nil"/>
              <w:right w:val="single" w:color="000000" w:sz="4" w:space="0"/>
            </w:tcBorders>
            <w:shd w:val="clear" w:color="auto" w:fill="auto"/>
            <w:vAlign w:val="center"/>
          </w:tcPr>
          <w:p w14:paraId="31B875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73613E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通过发放劳务报酬使财务工作有效进行</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2F728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4454DACD">
            <w:pPr>
              <w:snapToGrid w:val="0"/>
              <w:jc w:val="center"/>
              <w:rPr>
                <w:rFonts w:hint="eastAsia" w:ascii="宋体" w:hAnsi="宋体" w:eastAsia="宋体" w:cs="宋体"/>
                <w:i w:val="0"/>
                <w:iCs w:val="0"/>
                <w:color w:val="000000"/>
                <w:sz w:val="18"/>
                <w:szCs w:val="18"/>
                <w:u w:val="none"/>
              </w:rPr>
            </w:pPr>
          </w:p>
        </w:tc>
        <w:tc>
          <w:tcPr>
            <w:tcW w:w="380" w:type="pct"/>
            <w:tcBorders>
              <w:top w:val="single" w:color="000000" w:sz="4" w:space="0"/>
              <w:left w:val="single" w:color="000000" w:sz="4" w:space="0"/>
              <w:bottom w:val="nil"/>
              <w:right w:val="single" w:color="000000" w:sz="4" w:space="0"/>
            </w:tcBorders>
            <w:shd w:val="clear" w:color="auto" w:fill="auto"/>
            <w:vAlign w:val="center"/>
          </w:tcPr>
          <w:p w14:paraId="446AE57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5F58E0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7AF3E65D">
            <w:pPr>
              <w:snapToGrid w:val="0"/>
              <w:jc w:val="center"/>
              <w:rPr>
                <w:rFonts w:hint="eastAsia" w:ascii="宋体" w:hAnsi="宋体" w:eastAsia="宋体" w:cs="宋体"/>
                <w:i w:val="0"/>
                <w:iCs w:val="0"/>
                <w:color w:val="000000"/>
                <w:sz w:val="18"/>
                <w:szCs w:val="18"/>
                <w:u w:val="none"/>
              </w:rPr>
            </w:pPr>
          </w:p>
        </w:tc>
        <w:tc>
          <w:tcPr>
            <w:tcW w:w="230" w:type="pct"/>
            <w:tcBorders>
              <w:top w:val="single" w:color="000000" w:sz="4" w:space="0"/>
              <w:left w:val="single" w:color="000000" w:sz="4" w:space="0"/>
              <w:bottom w:val="nil"/>
              <w:right w:val="single" w:color="000000" w:sz="4" w:space="0"/>
            </w:tcBorders>
            <w:shd w:val="clear" w:color="auto" w:fill="auto"/>
            <w:vAlign w:val="center"/>
          </w:tcPr>
          <w:p w14:paraId="7BB398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293D3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23D5F894">
            <w:pPr>
              <w:snapToGrid w:val="0"/>
              <w:jc w:val="center"/>
              <w:rPr>
                <w:rFonts w:hint="eastAsia" w:ascii="宋体" w:hAnsi="宋体" w:eastAsia="宋体" w:cs="宋体"/>
                <w:i w:val="0"/>
                <w:iCs w:val="0"/>
                <w:color w:val="000000"/>
                <w:sz w:val="18"/>
                <w:szCs w:val="18"/>
                <w:u w:val="none"/>
              </w:rPr>
            </w:pPr>
          </w:p>
        </w:tc>
      </w:tr>
      <w:tr w14:paraId="7BC40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87" w:type="pct"/>
            <w:vMerge w:val="continue"/>
            <w:tcBorders>
              <w:top w:val="single" w:color="000000" w:sz="4" w:space="0"/>
              <w:left w:val="single" w:color="000000" w:sz="4" w:space="0"/>
              <w:bottom w:val="nil"/>
              <w:right w:val="single" w:color="000000" w:sz="4" w:space="0"/>
            </w:tcBorders>
            <w:shd w:val="clear" w:color="auto" w:fill="auto"/>
            <w:vAlign w:val="center"/>
          </w:tcPr>
          <w:p w14:paraId="42A65D7B">
            <w:pPr>
              <w:snapToGrid w:val="0"/>
              <w:jc w:val="center"/>
              <w:rPr>
                <w:rFonts w:hint="eastAsia" w:ascii="宋体" w:hAnsi="宋体" w:eastAsia="宋体" w:cs="宋体"/>
                <w:i w:val="0"/>
                <w:iCs w:val="0"/>
                <w:color w:val="000000"/>
                <w:sz w:val="18"/>
                <w:szCs w:val="18"/>
                <w:u w:val="none"/>
              </w:rPr>
            </w:pPr>
          </w:p>
        </w:tc>
        <w:tc>
          <w:tcPr>
            <w:tcW w:w="333" w:type="pct"/>
            <w:tcBorders>
              <w:top w:val="single" w:color="000000" w:sz="4" w:space="0"/>
              <w:left w:val="single" w:color="000000" w:sz="4" w:space="0"/>
              <w:bottom w:val="nil"/>
              <w:right w:val="single" w:color="000000" w:sz="4" w:space="0"/>
            </w:tcBorders>
            <w:shd w:val="clear" w:color="auto" w:fill="auto"/>
            <w:vAlign w:val="center"/>
          </w:tcPr>
          <w:p w14:paraId="0DDEAD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56" w:type="pct"/>
            <w:tcBorders>
              <w:top w:val="single" w:color="000000" w:sz="4" w:space="0"/>
              <w:left w:val="single" w:color="000000" w:sz="4" w:space="0"/>
              <w:bottom w:val="nil"/>
              <w:right w:val="single" w:color="000000" w:sz="4" w:space="0"/>
            </w:tcBorders>
            <w:shd w:val="clear" w:color="auto" w:fill="auto"/>
            <w:vAlign w:val="center"/>
          </w:tcPr>
          <w:p w14:paraId="36D13D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888" w:type="pct"/>
            <w:tcBorders>
              <w:top w:val="single" w:color="000000" w:sz="4" w:space="0"/>
              <w:left w:val="single" w:color="000000" w:sz="4" w:space="0"/>
              <w:bottom w:val="nil"/>
              <w:right w:val="single" w:color="000000" w:sz="4" w:space="0"/>
            </w:tcBorders>
            <w:shd w:val="clear" w:color="auto" w:fill="auto"/>
            <w:vAlign w:val="center"/>
          </w:tcPr>
          <w:p w14:paraId="4949C73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聘用人员满意度</w:t>
            </w:r>
          </w:p>
        </w:tc>
        <w:tc>
          <w:tcPr>
            <w:tcW w:w="287" w:type="pct"/>
            <w:tcBorders>
              <w:top w:val="single" w:color="000000" w:sz="4" w:space="0"/>
              <w:left w:val="single" w:color="000000" w:sz="4" w:space="0"/>
              <w:bottom w:val="nil"/>
              <w:right w:val="single" w:color="000000" w:sz="4" w:space="0"/>
            </w:tcBorders>
            <w:shd w:val="clear" w:color="auto" w:fill="auto"/>
            <w:vAlign w:val="center"/>
          </w:tcPr>
          <w:p w14:paraId="17C712F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89" w:type="pct"/>
            <w:tcBorders>
              <w:top w:val="single" w:color="000000" w:sz="4" w:space="0"/>
              <w:left w:val="single" w:color="000000" w:sz="4" w:space="0"/>
              <w:bottom w:val="nil"/>
              <w:right w:val="single" w:color="000000" w:sz="4" w:space="0"/>
            </w:tcBorders>
            <w:shd w:val="clear" w:color="auto" w:fill="auto"/>
            <w:vAlign w:val="center"/>
          </w:tcPr>
          <w:p w14:paraId="20B4CD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0" w:type="pct"/>
            <w:tcBorders>
              <w:top w:val="single" w:color="000000" w:sz="4" w:space="0"/>
              <w:left w:val="single" w:color="000000" w:sz="4" w:space="0"/>
              <w:bottom w:val="nil"/>
              <w:right w:val="single" w:color="000000" w:sz="4" w:space="0"/>
            </w:tcBorders>
            <w:shd w:val="clear" w:color="auto" w:fill="auto"/>
            <w:vAlign w:val="center"/>
          </w:tcPr>
          <w:p w14:paraId="63C41A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449" w:type="pct"/>
            <w:tcBorders>
              <w:top w:val="single" w:color="000000" w:sz="4" w:space="0"/>
              <w:left w:val="single" w:color="000000" w:sz="4" w:space="0"/>
              <w:bottom w:val="nil"/>
              <w:right w:val="single" w:color="000000" w:sz="4" w:space="0"/>
            </w:tcBorders>
            <w:shd w:val="clear" w:color="auto" w:fill="auto"/>
            <w:vAlign w:val="center"/>
          </w:tcPr>
          <w:p w14:paraId="7466D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344" w:type="pct"/>
            <w:tcBorders>
              <w:top w:val="single" w:color="000000" w:sz="4" w:space="0"/>
              <w:left w:val="single" w:color="000000" w:sz="4" w:space="0"/>
              <w:bottom w:val="nil"/>
              <w:right w:val="single" w:color="000000" w:sz="4" w:space="0"/>
            </w:tcBorders>
            <w:shd w:val="clear" w:color="auto" w:fill="auto"/>
            <w:vAlign w:val="center"/>
          </w:tcPr>
          <w:p w14:paraId="2B7DD6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0" w:type="pct"/>
            <w:tcBorders>
              <w:top w:val="single" w:color="000000" w:sz="4" w:space="0"/>
              <w:left w:val="single" w:color="000000" w:sz="4" w:space="0"/>
              <w:bottom w:val="nil"/>
              <w:right w:val="single" w:color="000000" w:sz="4" w:space="0"/>
            </w:tcBorders>
            <w:shd w:val="clear" w:color="auto" w:fill="auto"/>
            <w:vAlign w:val="center"/>
          </w:tcPr>
          <w:p w14:paraId="384D55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1305A8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1" w:type="pct"/>
            <w:tcBorders>
              <w:top w:val="single" w:color="000000" w:sz="4" w:space="0"/>
              <w:left w:val="single" w:color="000000" w:sz="4" w:space="0"/>
              <w:bottom w:val="nil"/>
              <w:right w:val="single" w:color="000000" w:sz="4" w:space="0"/>
            </w:tcBorders>
            <w:shd w:val="clear" w:color="auto" w:fill="auto"/>
            <w:vAlign w:val="center"/>
          </w:tcPr>
          <w:p w14:paraId="0381C89E">
            <w:pPr>
              <w:snapToGrid w:val="0"/>
              <w:jc w:val="center"/>
              <w:rPr>
                <w:rFonts w:hint="eastAsia" w:ascii="宋体" w:hAnsi="宋体" w:eastAsia="宋体" w:cs="宋体"/>
                <w:i w:val="0"/>
                <w:iCs w:val="0"/>
                <w:color w:val="000000"/>
                <w:sz w:val="18"/>
                <w:szCs w:val="18"/>
                <w:u w:val="none"/>
              </w:rPr>
            </w:pPr>
          </w:p>
        </w:tc>
      </w:tr>
      <w:tr w14:paraId="0F5FF2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81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03ECB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692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8CD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97.86</w:t>
            </w:r>
          </w:p>
        </w:tc>
        <w:tc>
          <w:tcPr>
            <w:tcW w:w="6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B9172">
            <w:pPr>
              <w:snapToGrid w:val="0"/>
              <w:jc w:val="center"/>
              <w:rPr>
                <w:rFonts w:hint="eastAsia" w:ascii="宋体" w:hAnsi="宋体" w:eastAsia="宋体" w:cs="宋体"/>
                <w:i w:val="0"/>
                <w:iCs w:val="0"/>
                <w:color w:val="000000"/>
                <w:sz w:val="18"/>
                <w:szCs w:val="18"/>
                <w:u w:val="none"/>
              </w:rPr>
            </w:pPr>
          </w:p>
        </w:tc>
      </w:tr>
    </w:tbl>
    <w:p w14:paraId="26E949F2">
      <w:pPr>
        <w:widowControl/>
        <w:spacing w:before="240" w:after="240"/>
        <w:rPr>
          <w:rFonts w:hint="eastAsia" w:ascii="仿宋" w:hAnsi="仿宋" w:eastAsia="仿宋" w:cs="仿宋"/>
          <w:color w:val="auto"/>
          <w:kern w:val="0"/>
          <w:sz w:val="32"/>
          <w:szCs w:val="32"/>
        </w:rPr>
      </w:pPr>
    </w:p>
    <w:p w14:paraId="78266F6F">
      <w:pPr>
        <w:widowControl/>
        <w:spacing w:before="240" w:after="240"/>
        <w:rPr>
          <w:rFonts w:ascii="仿宋_GB2312" w:hAnsi="仿宋_GB2312" w:eastAsia="仿宋_GB2312" w:cs="仿宋_GB2312"/>
          <w:color w:val="1200FF"/>
          <w:kern w:val="0"/>
          <w:sz w:val="27"/>
          <w:szCs w:val="27"/>
        </w:rPr>
      </w:pPr>
      <w:r>
        <w:rPr>
          <w:rFonts w:ascii="仿宋_GB2312" w:hAnsi="仿宋_GB2312" w:eastAsia="仿宋_GB2312" w:cs="仿宋_GB2312"/>
          <w:color w:val="000000"/>
          <w:kern w:val="0"/>
          <w:sz w:val="27"/>
          <w:szCs w:val="27"/>
        </w:rPr>
        <w:t> </w:t>
      </w:r>
      <w:r>
        <w:rPr>
          <w:rFonts w:ascii="仿宋_GB2312" w:hAnsi="仿宋_GB2312" w:eastAsia="仿宋_GB2312" w:cs="仿宋_GB2312"/>
          <w:color w:val="1200FF"/>
          <w:kern w:val="0"/>
          <w:sz w:val="27"/>
          <w:szCs w:val="27"/>
        </w:rPr>
        <w:t> </w:t>
      </w:r>
    </w:p>
    <w:tbl>
      <w:tblPr>
        <w:tblStyle w:val="18"/>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519"/>
        <w:gridCol w:w="594"/>
        <w:gridCol w:w="987"/>
        <w:gridCol w:w="1512"/>
        <w:gridCol w:w="519"/>
        <w:gridCol w:w="527"/>
        <w:gridCol w:w="649"/>
        <w:gridCol w:w="935"/>
        <w:gridCol w:w="805"/>
        <w:gridCol w:w="519"/>
        <w:gridCol w:w="789"/>
        <w:gridCol w:w="1513"/>
      </w:tblGrid>
      <w:tr w14:paraId="1695A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2DC2E4BA">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108AE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9B178">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435"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93842A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健康知识普及行动项目</w:t>
            </w:r>
          </w:p>
        </w:tc>
      </w:tr>
      <w:tr w14:paraId="46C22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6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33702D">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79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969536">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420267">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3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C28D9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乌海市卫生健康宣传教育中心</w:t>
            </w:r>
          </w:p>
        </w:tc>
      </w:tr>
      <w:tr w14:paraId="1FC66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6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2DC7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AE7E">
            <w:pPr>
              <w:snapToGrid w:val="0"/>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306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B7F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1A4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CF3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CA6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D116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E2777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D6D58B">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6DD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A138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7F25A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8C8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3681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938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24E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0C2AF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D6647E">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9A04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F2CC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495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03F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24B81">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6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D49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1000000</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18F18">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A431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486F93">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7D8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E55F8">
            <w:pPr>
              <w:snapToGrid w:val="0"/>
              <w:rPr>
                <w:rFonts w:hint="eastAsia" w:ascii="宋体" w:hAnsi="宋体" w:eastAsia="宋体" w:cs="宋体"/>
                <w:i w:val="0"/>
                <w:iCs w:val="0"/>
                <w:color w:val="000000"/>
                <w:sz w:val="18"/>
                <w:szCs w:val="18"/>
                <w:u w:val="none"/>
              </w:rPr>
            </w:pP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03F9BD">
            <w:pPr>
              <w:snapToGrid w:val="0"/>
              <w:jc w:val="center"/>
              <w:rPr>
                <w:rFonts w:hint="eastAsia" w:ascii="宋体" w:hAnsi="宋体" w:eastAsia="宋体" w:cs="宋体"/>
                <w:i w:val="0"/>
                <w:iCs w:val="0"/>
                <w:color w:val="000000"/>
                <w:sz w:val="18"/>
                <w:szCs w:val="18"/>
                <w:u w:val="none"/>
              </w:rPr>
            </w:pP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32716C">
            <w:pPr>
              <w:snapToGrid w:val="0"/>
              <w:jc w:val="center"/>
              <w:rPr>
                <w:rFonts w:hint="eastAsia" w:ascii="宋体" w:hAnsi="宋体" w:eastAsia="宋体" w:cs="宋体"/>
                <w:i w:val="0"/>
                <w:iCs w:val="0"/>
                <w:color w:val="000000"/>
                <w:sz w:val="18"/>
                <w:szCs w:val="18"/>
                <w:u w:val="none"/>
              </w:rPr>
            </w:pP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131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6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02122">
            <w:pPr>
              <w:snapToGrid w:val="0"/>
              <w:jc w:val="center"/>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1D34B">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3825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2CBDD8">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E51F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AB66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2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FAD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48DD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40A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66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8A4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1A1DD">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BA4A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6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3A8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12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0B85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30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1FFCA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B365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6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16D86">
            <w:pPr>
              <w:snapToGrid w:val="0"/>
              <w:jc w:val="center"/>
              <w:rPr>
                <w:rFonts w:hint="eastAsia" w:ascii="宋体" w:hAnsi="宋体" w:eastAsia="宋体" w:cs="宋体"/>
                <w:i w:val="0"/>
                <w:iCs w:val="0"/>
                <w:color w:val="000000"/>
                <w:sz w:val="18"/>
                <w:szCs w:val="18"/>
                <w:u w:val="none"/>
              </w:rPr>
            </w:pPr>
          </w:p>
        </w:tc>
        <w:tc>
          <w:tcPr>
            <w:tcW w:w="212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8D244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为加强全市健康促进与健康教育工作力度，提高全市居民健康素养工作，更好的开展工作。</w:t>
            </w:r>
          </w:p>
        </w:tc>
        <w:tc>
          <w:tcPr>
            <w:tcW w:w="230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B674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为加强全市健康促进与健康教育工作力度，提高全市居民健康素养工作，更好的开展工作。</w:t>
            </w:r>
          </w:p>
        </w:tc>
      </w:tr>
      <w:tr w14:paraId="4E460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F6C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47D4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0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1B8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D9D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6F3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600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182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B1A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C96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275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D9A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6BEF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0F00BF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63" w:type="pct"/>
            <w:vMerge w:val="restart"/>
            <w:tcBorders>
              <w:top w:val="single" w:color="000000" w:sz="4" w:space="0"/>
              <w:left w:val="single" w:color="000000" w:sz="4" w:space="0"/>
              <w:bottom w:val="nil"/>
              <w:right w:val="single" w:color="000000" w:sz="4" w:space="0"/>
            </w:tcBorders>
            <w:shd w:val="clear" w:color="auto" w:fill="auto"/>
            <w:vAlign w:val="center"/>
          </w:tcPr>
          <w:p w14:paraId="073A92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00" w:type="pct"/>
            <w:vMerge w:val="restart"/>
            <w:tcBorders>
              <w:top w:val="single" w:color="000000" w:sz="4" w:space="0"/>
              <w:left w:val="single" w:color="000000" w:sz="4" w:space="0"/>
              <w:bottom w:val="nil"/>
              <w:right w:val="single" w:color="000000" w:sz="4" w:space="0"/>
            </w:tcBorders>
            <w:shd w:val="clear" w:color="auto" w:fill="auto"/>
            <w:vAlign w:val="center"/>
          </w:tcPr>
          <w:p w14:paraId="1F8E0E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00" w:type="pct"/>
            <w:vMerge w:val="restart"/>
            <w:tcBorders>
              <w:top w:val="single" w:color="000000" w:sz="4" w:space="0"/>
              <w:left w:val="single" w:color="000000" w:sz="4" w:space="0"/>
              <w:bottom w:val="nil"/>
              <w:right w:val="single" w:color="000000" w:sz="4" w:space="0"/>
            </w:tcBorders>
            <w:shd w:val="clear" w:color="auto" w:fill="auto"/>
            <w:vAlign w:val="center"/>
          </w:tcPr>
          <w:p w14:paraId="080015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21E3B1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健康工作委托服务</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15D158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0DAF31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17D446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0C7012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0BE12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50E61A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71FA67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6D737761">
            <w:pPr>
              <w:snapToGrid w:val="0"/>
              <w:jc w:val="center"/>
              <w:rPr>
                <w:rFonts w:hint="eastAsia" w:ascii="宋体" w:hAnsi="宋体" w:eastAsia="宋体" w:cs="宋体"/>
                <w:i w:val="0"/>
                <w:iCs w:val="0"/>
                <w:color w:val="000000"/>
                <w:sz w:val="18"/>
                <w:szCs w:val="18"/>
                <w:u w:val="none"/>
              </w:rPr>
            </w:pPr>
          </w:p>
        </w:tc>
      </w:tr>
      <w:tr w14:paraId="7018A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361CF801">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5D573B8F">
            <w:pPr>
              <w:snapToGrid w:val="0"/>
              <w:jc w:val="center"/>
              <w:rPr>
                <w:rFonts w:hint="eastAsia" w:ascii="宋体" w:hAnsi="宋体" w:eastAsia="宋体" w:cs="宋体"/>
                <w:i w:val="0"/>
                <w:iCs w:val="0"/>
                <w:color w:val="000000"/>
                <w:sz w:val="18"/>
                <w:szCs w:val="18"/>
                <w:u w:val="none"/>
              </w:rPr>
            </w:pPr>
          </w:p>
        </w:tc>
        <w:tc>
          <w:tcPr>
            <w:tcW w:w="500" w:type="pct"/>
            <w:vMerge w:val="continue"/>
            <w:tcBorders>
              <w:top w:val="single" w:color="000000" w:sz="4" w:space="0"/>
              <w:left w:val="single" w:color="000000" w:sz="4" w:space="0"/>
              <w:bottom w:val="nil"/>
              <w:right w:val="single" w:color="000000" w:sz="4" w:space="0"/>
            </w:tcBorders>
            <w:shd w:val="clear" w:color="auto" w:fill="auto"/>
            <w:vAlign w:val="center"/>
          </w:tcPr>
          <w:p w14:paraId="09CC8055">
            <w:pPr>
              <w:snapToGrid w:val="0"/>
              <w:jc w:val="center"/>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nil"/>
              <w:right w:val="single" w:color="000000" w:sz="4" w:space="0"/>
            </w:tcBorders>
            <w:shd w:val="clear" w:color="auto" w:fill="auto"/>
            <w:vAlign w:val="center"/>
          </w:tcPr>
          <w:p w14:paraId="392323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健康报刊知识宣传</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46764D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3FF93D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565812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4D13B6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369F0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期</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0CF081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3F5E1E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08C51601">
            <w:pPr>
              <w:snapToGrid w:val="0"/>
              <w:jc w:val="center"/>
              <w:rPr>
                <w:rFonts w:hint="eastAsia" w:ascii="宋体" w:hAnsi="宋体" w:eastAsia="宋体" w:cs="宋体"/>
                <w:i w:val="0"/>
                <w:iCs w:val="0"/>
                <w:color w:val="000000"/>
                <w:sz w:val="18"/>
                <w:szCs w:val="18"/>
                <w:u w:val="none"/>
              </w:rPr>
            </w:pPr>
          </w:p>
        </w:tc>
      </w:tr>
      <w:tr w14:paraId="0BE144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7204E9FB">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2ACF5A00">
            <w:pPr>
              <w:snapToGrid w:val="0"/>
              <w:jc w:val="center"/>
              <w:rPr>
                <w:rFonts w:hint="eastAsia" w:ascii="宋体" w:hAnsi="宋体" w:eastAsia="宋体" w:cs="宋体"/>
                <w:i w:val="0"/>
                <w:iCs w:val="0"/>
                <w:color w:val="000000"/>
                <w:sz w:val="18"/>
                <w:szCs w:val="18"/>
                <w:u w:val="none"/>
              </w:rPr>
            </w:pPr>
          </w:p>
        </w:tc>
        <w:tc>
          <w:tcPr>
            <w:tcW w:w="500" w:type="pct"/>
            <w:vMerge w:val="restart"/>
            <w:tcBorders>
              <w:top w:val="single" w:color="000000" w:sz="4" w:space="0"/>
              <w:left w:val="single" w:color="000000" w:sz="4" w:space="0"/>
              <w:bottom w:val="nil"/>
              <w:right w:val="single" w:color="000000" w:sz="4" w:space="0"/>
            </w:tcBorders>
            <w:shd w:val="clear" w:color="auto" w:fill="auto"/>
            <w:vAlign w:val="center"/>
          </w:tcPr>
          <w:p w14:paraId="7A475A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4D0B47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健康工作服务合格率</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7840B0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658575C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60B057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19FA45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0A211B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0AA3B0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7F041C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7D4DF46A">
            <w:pPr>
              <w:snapToGrid w:val="0"/>
              <w:jc w:val="center"/>
              <w:rPr>
                <w:rFonts w:hint="eastAsia" w:ascii="宋体" w:hAnsi="宋体" w:eastAsia="宋体" w:cs="宋体"/>
                <w:i w:val="0"/>
                <w:iCs w:val="0"/>
                <w:color w:val="000000"/>
                <w:sz w:val="18"/>
                <w:szCs w:val="18"/>
                <w:u w:val="none"/>
              </w:rPr>
            </w:pPr>
          </w:p>
        </w:tc>
      </w:tr>
      <w:tr w14:paraId="2BB55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0752D55A">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1085A84E">
            <w:pPr>
              <w:snapToGrid w:val="0"/>
              <w:jc w:val="center"/>
              <w:rPr>
                <w:rFonts w:hint="eastAsia" w:ascii="宋体" w:hAnsi="宋体" w:eastAsia="宋体" w:cs="宋体"/>
                <w:i w:val="0"/>
                <w:iCs w:val="0"/>
                <w:color w:val="000000"/>
                <w:sz w:val="18"/>
                <w:szCs w:val="18"/>
                <w:u w:val="none"/>
              </w:rPr>
            </w:pPr>
          </w:p>
        </w:tc>
        <w:tc>
          <w:tcPr>
            <w:tcW w:w="500" w:type="pct"/>
            <w:vMerge w:val="continue"/>
            <w:tcBorders>
              <w:top w:val="single" w:color="000000" w:sz="4" w:space="0"/>
              <w:left w:val="single" w:color="000000" w:sz="4" w:space="0"/>
              <w:bottom w:val="nil"/>
              <w:right w:val="single" w:color="000000" w:sz="4" w:space="0"/>
            </w:tcBorders>
            <w:shd w:val="clear" w:color="auto" w:fill="auto"/>
            <w:vAlign w:val="center"/>
          </w:tcPr>
          <w:p w14:paraId="19BAFB4E">
            <w:pPr>
              <w:snapToGrid w:val="0"/>
              <w:jc w:val="center"/>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nil"/>
              <w:right w:val="single" w:color="000000" w:sz="4" w:space="0"/>
            </w:tcBorders>
            <w:shd w:val="clear" w:color="auto" w:fill="auto"/>
            <w:vAlign w:val="center"/>
          </w:tcPr>
          <w:p w14:paraId="60A320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健康素养促进活动宣传率</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446118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1C6B1C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78C3DC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52CFF2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564EF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1CCEAC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1962C3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7F28AA8D">
            <w:pPr>
              <w:snapToGrid w:val="0"/>
              <w:jc w:val="center"/>
              <w:rPr>
                <w:rFonts w:hint="eastAsia" w:ascii="宋体" w:hAnsi="宋体" w:eastAsia="宋体" w:cs="宋体"/>
                <w:i w:val="0"/>
                <w:iCs w:val="0"/>
                <w:color w:val="000000"/>
                <w:sz w:val="18"/>
                <w:szCs w:val="18"/>
                <w:u w:val="none"/>
              </w:rPr>
            </w:pPr>
          </w:p>
        </w:tc>
      </w:tr>
      <w:tr w14:paraId="6AD0B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48C20E20">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72044CD9">
            <w:pPr>
              <w:snapToGrid w:val="0"/>
              <w:jc w:val="center"/>
              <w:rPr>
                <w:rFonts w:hint="eastAsia" w:ascii="宋体" w:hAnsi="宋体" w:eastAsia="宋体" w:cs="宋体"/>
                <w:i w:val="0"/>
                <w:iCs w:val="0"/>
                <w:color w:val="000000"/>
                <w:sz w:val="18"/>
                <w:szCs w:val="18"/>
                <w:u w:val="none"/>
              </w:rPr>
            </w:pPr>
          </w:p>
        </w:tc>
        <w:tc>
          <w:tcPr>
            <w:tcW w:w="500" w:type="pct"/>
            <w:vMerge w:val="restart"/>
            <w:tcBorders>
              <w:top w:val="single" w:color="000000" w:sz="4" w:space="0"/>
              <w:left w:val="single" w:color="000000" w:sz="4" w:space="0"/>
              <w:bottom w:val="nil"/>
              <w:right w:val="single" w:color="000000" w:sz="4" w:space="0"/>
            </w:tcBorders>
            <w:shd w:val="clear" w:color="auto" w:fill="auto"/>
            <w:vAlign w:val="center"/>
          </w:tcPr>
          <w:p w14:paraId="6EA7114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226328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健康工作委托服务时间</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78209C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5D7AE4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540925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6ED0D0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AF1F1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年月</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4AC76A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7D4B90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5AF2ECCB">
            <w:pPr>
              <w:snapToGrid w:val="0"/>
              <w:jc w:val="center"/>
              <w:rPr>
                <w:rFonts w:hint="eastAsia" w:ascii="宋体" w:hAnsi="宋体" w:eastAsia="宋体" w:cs="宋体"/>
                <w:i w:val="0"/>
                <w:iCs w:val="0"/>
                <w:color w:val="000000"/>
                <w:sz w:val="18"/>
                <w:szCs w:val="18"/>
                <w:u w:val="none"/>
              </w:rPr>
            </w:pPr>
          </w:p>
        </w:tc>
      </w:tr>
      <w:tr w14:paraId="2552A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055586B5">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1FC39022">
            <w:pPr>
              <w:snapToGrid w:val="0"/>
              <w:jc w:val="center"/>
              <w:rPr>
                <w:rFonts w:hint="eastAsia" w:ascii="宋体" w:hAnsi="宋体" w:eastAsia="宋体" w:cs="宋体"/>
                <w:i w:val="0"/>
                <w:iCs w:val="0"/>
                <w:color w:val="000000"/>
                <w:sz w:val="18"/>
                <w:szCs w:val="18"/>
                <w:u w:val="none"/>
              </w:rPr>
            </w:pPr>
          </w:p>
        </w:tc>
        <w:tc>
          <w:tcPr>
            <w:tcW w:w="500" w:type="pct"/>
            <w:vMerge w:val="continue"/>
            <w:tcBorders>
              <w:top w:val="single" w:color="000000" w:sz="4" w:space="0"/>
              <w:left w:val="single" w:color="000000" w:sz="4" w:space="0"/>
              <w:bottom w:val="nil"/>
              <w:right w:val="single" w:color="000000" w:sz="4" w:space="0"/>
            </w:tcBorders>
            <w:shd w:val="clear" w:color="auto" w:fill="auto"/>
            <w:vAlign w:val="center"/>
          </w:tcPr>
          <w:p w14:paraId="758A0297">
            <w:pPr>
              <w:snapToGrid w:val="0"/>
              <w:jc w:val="center"/>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nil"/>
              <w:right w:val="single" w:color="000000" w:sz="4" w:space="0"/>
            </w:tcBorders>
            <w:shd w:val="clear" w:color="auto" w:fill="auto"/>
            <w:vAlign w:val="center"/>
          </w:tcPr>
          <w:p w14:paraId="6B5487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健康报刊广告宣传时间</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02DE91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080B1D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1C635F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701AA2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22B462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年月</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68328E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1BDC3A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78864608">
            <w:pPr>
              <w:snapToGrid w:val="0"/>
              <w:jc w:val="center"/>
              <w:rPr>
                <w:rFonts w:hint="eastAsia" w:ascii="宋体" w:hAnsi="宋体" w:eastAsia="宋体" w:cs="宋体"/>
                <w:i w:val="0"/>
                <w:iCs w:val="0"/>
                <w:color w:val="000000"/>
                <w:sz w:val="18"/>
                <w:szCs w:val="18"/>
                <w:u w:val="none"/>
              </w:rPr>
            </w:pPr>
          </w:p>
        </w:tc>
      </w:tr>
      <w:tr w14:paraId="7A146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66FE4457">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53D0B6DB">
            <w:pPr>
              <w:snapToGrid w:val="0"/>
              <w:jc w:val="center"/>
              <w:rPr>
                <w:rFonts w:hint="eastAsia" w:ascii="宋体" w:hAnsi="宋体" w:eastAsia="宋体" w:cs="宋体"/>
                <w:i w:val="0"/>
                <w:iCs w:val="0"/>
                <w:color w:val="000000"/>
                <w:sz w:val="18"/>
                <w:szCs w:val="18"/>
                <w:u w:val="none"/>
              </w:rPr>
            </w:pPr>
          </w:p>
        </w:tc>
        <w:tc>
          <w:tcPr>
            <w:tcW w:w="500" w:type="pct"/>
            <w:vMerge w:val="restart"/>
            <w:tcBorders>
              <w:top w:val="single" w:color="000000" w:sz="4" w:space="0"/>
              <w:left w:val="single" w:color="000000" w:sz="4" w:space="0"/>
              <w:bottom w:val="nil"/>
              <w:right w:val="single" w:color="000000" w:sz="4" w:space="0"/>
            </w:tcBorders>
            <w:shd w:val="clear" w:color="auto" w:fill="auto"/>
            <w:vAlign w:val="center"/>
          </w:tcPr>
          <w:p w14:paraId="29CF77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73474C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委托业务服务</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4FE966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280320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27C1A3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1F307E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A86DC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70A868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472B32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3201541E">
            <w:pPr>
              <w:snapToGrid w:val="0"/>
              <w:jc w:val="center"/>
              <w:rPr>
                <w:rFonts w:hint="eastAsia" w:ascii="宋体" w:hAnsi="宋体" w:eastAsia="宋体" w:cs="宋体"/>
                <w:i w:val="0"/>
                <w:iCs w:val="0"/>
                <w:color w:val="000000"/>
                <w:sz w:val="18"/>
                <w:szCs w:val="18"/>
                <w:u w:val="none"/>
              </w:rPr>
            </w:pPr>
          </w:p>
        </w:tc>
      </w:tr>
      <w:tr w14:paraId="6AB92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0E857757">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55A003E3">
            <w:pPr>
              <w:snapToGrid w:val="0"/>
              <w:jc w:val="center"/>
              <w:rPr>
                <w:rFonts w:hint="eastAsia" w:ascii="宋体" w:hAnsi="宋体" w:eastAsia="宋体" w:cs="宋体"/>
                <w:i w:val="0"/>
                <w:iCs w:val="0"/>
                <w:color w:val="000000"/>
                <w:sz w:val="18"/>
                <w:szCs w:val="18"/>
                <w:u w:val="none"/>
              </w:rPr>
            </w:pPr>
          </w:p>
        </w:tc>
        <w:tc>
          <w:tcPr>
            <w:tcW w:w="500" w:type="pct"/>
            <w:vMerge w:val="continue"/>
            <w:tcBorders>
              <w:top w:val="single" w:color="000000" w:sz="4" w:space="0"/>
              <w:left w:val="single" w:color="000000" w:sz="4" w:space="0"/>
              <w:bottom w:val="nil"/>
              <w:right w:val="single" w:color="000000" w:sz="4" w:space="0"/>
            </w:tcBorders>
            <w:shd w:val="clear" w:color="auto" w:fill="auto"/>
            <w:vAlign w:val="center"/>
          </w:tcPr>
          <w:p w14:paraId="4305A5F2">
            <w:pPr>
              <w:snapToGrid w:val="0"/>
              <w:jc w:val="center"/>
              <w:rPr>
                <w:rFonts w:hint="eastAsia" w:ascii="宋体" w:hAnsi="宋体" w:eastAsia="宋体" w:cs="宋体"/>
                <w:i w:val="0"/>
                <w:iCs w:val="0"/>
                <w:color w:val="000000"/>
                <w:sz w:val="18"/>
                <w:szCs w:val="18"/>
                <w:u w:val="none"/>
              </w:rPr>
            </w:pPr>
          </w:p>
        </w:tc>
        <w:tc>
          <w:tcPr>
            <w:tcW w:w="766" w:type="pct"/>
            <w:tcBorders>
              <w:top w:val="single" w:color="000000" w:sz="4" w:space="0"/>
              <w:left w:val="single" w:color="000000" w:sz="4" w:space="0"/>
              <w:bottom w:val="nil"/>
              <w:right w:val="single" w:color="000000" w:sz="4" w:space="0"/>
            </w:tcBorders>
            <w:shd w:val="clear" w:color="auto" w:fill="auto"/>
            <w:vAlign w:val="center"/>
          </w:tcPr>
          <w:p w14:paraId="639D8BE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健康专栏知识宣传</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273D54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5CBC99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0569F6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58524C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585B0F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1D7C27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3EAE89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21E2E060">
            <w:pPr>
              <w:snapToGrid w:val="0"/>
              <w:jc w:val="center"/>
              <w:rPr>
                <w:rFonts w:hint="eastAsia" w:ascii="宋体" w:hAnsi="宋体" w:eastAsia="宋体" w:cs="宋体"/>
                <w:i w:val="0"/>
                <w:iCs w:val="0"/>
                <w:color w:val="000000"/>
                <w:sz w:val="18"/>
                <w:szCs w:val="18"/>
                <w:u w:val="none"/>
              </w:rPr>
            </w:pPr>
          </w:p>
        </w:tc>
      </w:tr>
      <w:tr w14:paraId="269D3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3853DE6C">
            <w:pPr>
              <w:snapToGrid w:val="0"/>
              <w:jc w:val="center"/>
              <w:rPr>
                <w:rFonts w:hint="eastAsia" w:ascii="宋体" w:hAnsi="宋体" w:eastAsia="宋体" w:cs="宋体"/>
                <w:i w:val="0"/>
                <w:iCs w:val="0"/>
                <w:color w:val="000000"/>
                <w:sz w:val="18"/>
                <w:szCs w:val="18"/>
                <w:u w:val="none"/>
              </w:rPr>
            </w:pPr>
          </w:p>
        </w:tc>
        <w:tc>
          <w:tcPr>
            <w:tcW w:w="300" w:type="pct"/>
            <w:vMerge w:val="restart"/>
            <w:tcBorders>
              <w:top w:val="single" w:color="000000" w:sz="4" w:space="0"/>
              <w:left w:val="single" w:color="000000" w:sz="4" w:space="0"/>
              <w:bottom w:val="nil"/>
              <w:right w:val="single" w:color="000000" w:sz="4" w:space="0"/>
            </w:tcBorders>
            <w:shd w:val="clear" w:color="auto" w:fill="auto"/>
            <w:vAlign w:val="center"/>
          </w:tcPr>
          <w:p w14:paraId="2FEC60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00" w:type="pct"/>
            <w:tcBorders>
              <w:top w:val="single" w:color="000000" w:sz="4" w:space="0"/>
              <w:left w:val="single" w:color="000000" w:sz="4" w:space="0"/>
              <w:bottom w:val="nil"/>
              <w:right w:val="single" w:color="000000" w:sz="4" w:space="0"/>
            </w:tcBorders>
            <w:shd w:val="clear" w:color="auto" w:fill="auto"/>
            <w:vAlign w:val="center"/>
          </w:tcPr>
          <w:p w14:paraId="54D2DD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11F1B93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加强对全市健康促进与健康教育工作力度</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06C4C9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0B66EA79">
            <w:pPr>
              <w:snapToGrid w:val="0"/>
              <w:jc w:val="center"/>
              <w:rPr>
                <w:rFonts w:hint="eastAsia" w:ascii="宋体" w:hAnsi="宋体" w:eastAsia="宋体" w:cs="宋体"/>
                <w:i w:val="0"/>
                <w:iCs w:val="0"/>
                <w:color w:val="000000"/>
                <w:sz w:val="18"/>
                <w:szCs w:val="18"/>
                <w:u w:val="none"/>
              </w:rPr>
            </w:pPr>
          </w:p>
        </w:tc>
        <w:tc>
          <w:tcPr>
            <w:tcW w:w="328" w:type="pct"/>
            <w:tcBorders>
              <w:top w:val="single" w:color="000000" w:sz="4" w:space="0"/>
              <w:left w:val="single" w:color="000000" w:sz="4" w:space="0"/>
              <w:bottom w:val="nil"/>
              <w:right w:val="single" w:color="000000" w:sz="4" w:space="0"/>
            </w:tcBorders>
            <w:shd w:val="clear" w:color="auto" w:fill="auto"/>
            <w:vAlign w:val="center"/>
          </w:tcPr>
          <w:p w14:paraId="078FF7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加强</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56F1AC1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377F9ABD">
            <w:pPr>
              <w:snapToGrid w:val="0"/>
              <w:jc w:val="center"/>
              <w:rPr>
                <w:rFonts w:hint="eastAsia" w:ascii="宋体" w:hAnsi="宋体" w:eastAsia="宋体" w:cs="宋体"/>
                <w:i w:val="0"/>
                <w:iCs w:val="0"/>
                <w:color w:val="000000"/>
                <w:sz w:val="18"/>
                <w:szCs w:val="18"/>
                <w:u w:val="none"/>
              </w:rPr>
            </w:pPr>
          </w:p>
        </w:tc>
        <w:tc>
          <w:tcPr>
            <w:tcW w:w="263" w:type="pct"/>
            <w:tcBorders>
              <w:top w:val="single" w:color="000000" w:sz="4" w:space="0"/>
              <w:left w:val="single" w:color="000000" w:sz="4" w:space="0"/>
              <w:bottom w:val="nil"/>
              <w:right w:val="single" w:color="000000" w:sz="4" w:space="0"/>
            </w:tcBorders>
            <w:shd w:val="clear" w:color="auto" w:fill="auto"/>
            <w:vAlign w:val="center"/>
          </w:tcPr>
          <w:p w14:paraId="12DCDB1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0E3920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266BFE3E">
            <w:pPr>
              <w:snapToGrid w:val="0"/>
              <w:jc w:val="center"/>
              <w:rPr>
                <w:rFonts w:hint="eastAsia" w:ascii="宋体" w:hAnsi="宋体" w:eastAsia="宋体" w:cs="宋体"/>
                <w:i w:val="0"/>
                <w:iCs w:val="0"/>
                <w:color w:val="000000"/>
                <w:sz w:val="18"/>
                <w:szCs w:val="18"/>
                <w:u w:val="none"/>
              </w:rPr>
            </w:pPr>
          </w:p>
        </w:tc>
      </w:tr>
      <w:tr w14:paraId="1D01B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5D8E5258">
            <w:pPr>
              <w:snapToGrid w:val="0"/>
              <w:jc w:val="center"/>
              <w:rPr>
                <w:rFonts w:hint="eastAsia" w:ascii="宋体" w:hAnsi="宋体" w:eastAsia="宋体" w:cs="宋体"/>
                <w:i w:val="0"/>
                <w:iCs w:val="0"/>
                <w:color w:val="000000"/>
                <w:sz w:val="18"/>
                <w:szCs w:val="18"/>
                <w:u w:val="none"/>
              </w:rPr>
            </w:pPr>
          </w:p>
        </w:tc>
        <w:tc>
          <w:tcPr>
            <w:tcW w:w="300" w:type="pct"/>
            <w:vMerge w:val="continue"/>
            <w:tcBorders>
              <w:top w:val="single" w:color="000000" w:sz="4" w:space="0"/>
              <w:left w:val="single" w:color="000000" w:sz="4" w:space="0"/>
              <w:bottom w:val="nil"/>
              <w:right w:val="single" w:color="000000" w:sz="4" w:space="0"/>
            </w:tcBorders>
            <w:shd w:val="clear" w:color="auto" w:fill="auto"/>
            <w:vAlign w:val="center"/>
          </w:tcPr>
          <w:p w14:paraId="59D3FBB3">
            <w:pPr>
              <w:snapToGrid w:val="0"/>
              <w:jc w:val="center"/>
              <w:rPr>
                <w:rFonts w:hint="eastAsia" w:ascii="宋体" w:hAnsi="宋体" w:eastAsia="宋体" w:cs="宋体"/>
                <w:i w:val="0"/>
                <w:iCs w:val="0"/>
                <w:color w:val="000000"/>
                <w:sz w:val="18"/>
                <w:szCs w:val="18"/>
                <w:u w:val="none"/>
              </w:rPr>
            </w:pPr>
          </w:p>
        </w:tc>
        <w:tc>
          <w:tcPr>
            <w:tcW w:w="500" w:type="pct"/>
            <w:tcBorders>
              <w:top w:val="single" w:color="000000" w:sz="4" w:space="0"/>
              <w:left w:val="single" w:color="000000" w:sz="4" w:space="0"/>
              <w:bottom w:val="nil"/>
              <w:right w:val="single" w:color="000000" w:sz="4" w:space="0"/>
            </w:tcBorders>
            <w:shd w:val="clear" w:color="auto" w:fill="auto"/>
            <w:vAlign w:val="center"/>
          </w:tcPr>
          <w:p w14:paraId="0BE644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586F46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开展健康教育宣传工作</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1EC38D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5A4F84FA">
            <w:pPr>
              <w:snapToGrid w:val="0"/>
              <w:jc w:val="center"/>
              <w:rPr>
                <w:rFonts w:hint="eastAsia" w:ascii="宋体" w:hAnsi="宋体" w:eastAsia="宋体" w:cs="宋体"/>
                <w:i w:val="0"/>
                <w:iCs w:val="0"/>
                <w:color w:val="000000"/>
                <w:sz w:val="18"/>
                <w:szCs w:val="18"/>
                <w:u w:val="none"/>
              </w:rPr>
            </w:pPr>
          </w:p>
        </w:tc>
        <w:tc>
          <w:tcPr>
            <w:tcW w:w="328" w:type="pct"/>
            <w:tcBorders>
              <w:top w:val="single" w:color="000000" w:sz="4" w:space="0"/>
              <w:left w:val="single" w:color="000000" w:sz="4" w:space="0"/>
              <w:bottom w:val="nil"/>
              <w:right w:val="single" w:color="000000" w:sz="4" w:space="0"/>
            </w:tcBorders>
            <w:shd w:val="clear" w:color="auto" w:fill="auto"/>
            <w:vAlign w:val="center"/>
          </w:tcPr>
          <w:p w14:paraId="4C9C7F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561BA9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4F7586C5">
            <w:pPr>
              <w:snapToGrid w:val="0"/>
              <w:jc w:val="center"/>
              <w:rPr>
                <w:rFonts w:hint="eastAsia" w:ascii="宋体" w:hAnsi="宋体" w:eastAsia="宋体" w:cs="宋体"/>
                <w:i w:val="0"/>
                <w:iCs w:val="0"/>
                <w:color w:val="000000"/>
                <w:sz w:val="18"/>
                <w:szCs w:val="18"/>
                <w:u w:val="none"/>
              </w:rPr>
            </w:pPr>
          </w:p>
        </w:tc>
        <w:tc>
          <w:tcPr>
            <w:tcW w:w="263" w:type="pct"/>
            <w:tcBorders>
              <w:top w:val="single" w:color="000000" w:sz="4" w:space="0"/>
              <w:left w:val="single" w:color="000000" w:sz="4" w:space="0"/>
              <w:bottom w:val="nil"/>
              <w:right w:val="single" w:color="000000" w:sz="4" w:space="0"/>
            </w:tcBorders>
            <w:shd w:val="clear" w:color="auto" w:fill="auto"/>
            <w:vAlign w:val="center"/>
          </w:tcPr>
          <w:p w14:paraId="6C626D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4522CE2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1EB0E619">
            <w:pPr>
              <w:snapToGrid w:val="0"/>
              <w:jc w:val="center"/>
              <w:rPr>
                <w:rFonts w:hint="eastAsia" w:ascii="宋体" w:hAnsi="宋体" w:eastAsia="宋体" w:cs="宋体"/>
                <w:i w:val="0"/>
                <w:iCs w:val="0"/>
                <w:color w:val="000000"/>
                <w:sz w:val="18"/>
                <w:szCs w:val="18"/>
                <w:u w:val="none"/>
              </w:rPr>
            </w:pPr>
          </w:p>
        </w:tc>
      </w:tr>
      <w:tr w14:paraId="6F95D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63" w:type="pct"/>
            <w:vMerge w:val="continue"/>
            <w:tcBorders>
              <w:top w:val="single" w:color="000000" w:sz="4" w:space="0"/>
              <w:left w:val="single" w:color="000000" w:sz="4" w:space="0"/>
              <w:bottom w:val="nil"/>
              <w:right w:val="single" w:color="000000" w:sz="4" w:space="0"/>
            </w:tcBorders>
            <w:shd w:val="clear" w:color="auto" w:fill="auto"/>
            <w:vAlign w:val="center"/>
          </w:tcPr>
          <w:p w14:paraId="3E69ADFE">
            <w:pPr>
              <w:snapToGrid w:val="0"/>
              <w:jc w:val="center"/>
              <w:rPr>
                <w:rFonts w:hint="eastAsia" w:ascii="宋体" w:hAnsi="宋体" w:eastAsia="宋体" w:cs="宋体"/>
                <w:i w:val="0"/>
                <w:iCs w:val="0"/>
                <w:color w:val="000000"/>
                <w:sz w:val="18"/>
                <w:szCs w:val="18"/>
                <w:u w:val="none"/>
              </w:rPr>
            </w:pPr>
          </w:p>
        </w:tc>
        <w:tc>
          <w:tcPr>
            <w:tcW w:w="300" w:type="pct"/>
            <w:tcBorders>
              <w:top w:val="single" w:color="000000" w:sz="4" w:space="0"/>
              <w:left w:val="single" w:color="000000" w:sz="4" w:space="0"/>
              <w:bottom w:val="nil"/>
              <w:right w:val="single" w:color="000000" w:sz="4" w:space="0"/>
            </w:tcBorders>
            <w:shd w:val="clear" w:color="auto" w:fill="auto"/>
            <w:vAlign w:val="center"/>
          </w:tcPr>
          <w:p w14:paraId="268D8D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00" w:type="pct"/>
            <w:tcBorders>
              <w:top w:val="single" w:color="000000" w:sz="4" w:space="0"/>
              <w:left w:val="single" w:color="000000" w:sz="4" w:space="0"/>
              <w:bottom w:val="nil"/>
              <w:right w:val="single" w:color="000000" w:sz="4" w:space="0"/>
            </w:tcBorders>
            <w:shd w:val="clear" w:color="auto" w:fill="auto"/>
            <w:vAlign w:val="center"/>
          </w:tcPr>
          <w:p w14:paraId="702AB7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5CFE92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53C544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66" w:type="pct"/>
            <w:tcBorders>
              <w:top w:val="single" w:color="000000" w:sz="4" w:space="0"/>
              <w:left w:val="single" w:color="000000" w:sz="4" w:space="0"/>
              <w:bottom w:val="nil"/>
              <w:right w:val="single" w:color="000000" w:sz="4" w:space="0"/>
            </w:tcBorders>
            <w:shd w:val="clear" w:color="auto" w:fill="auto"/>
            <w:vAlign w:val="center"/>
          </w:tcPr>
          <w:p w14:paraId="715690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28" w:type="pct"/>
            <w:tcBorders>
              <w:top w:val="single" w:color="000000" w:sz="4" w:space="0"/>
              <w:left w:val="single" w:color="000000" w:sz="4" w:space="0"/>
              <w:bottom w:val="nil"/>
              <w:right w:val="single" w:color="000000" w:sz="4" w:space="0"/>
            </w:tcBorders>
            <w:shd w:val="clear" w:color="auto" w:fill="auto"/>
            <w:vAlign w:val="center"/>
          </w:tcPr>
          <w:p w14:paraId="33B49C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474" w:type="pct"/>
            <w:tcBorders>
              <w:top w:val="single" w:color="000000" w:sz="4" w:space="0"/>
              <w:left w:val="single" w:color="000000" w:sz="4" w:space="0"/>
              <w:bottom w:val="nil"/>
              <w:right w:val="single" w:color="000000" w:sz="4" w:space="0"/>
            </w:tcBorders>
            <w:shd w:val="clear" w:color="auto" w:fill="auto"/>
            <w:vAlign w:val="center"/>
          </w:tcPr>
          <w:p w14:paraId="684120C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404" w:type="pct"/>
            <w:tcBorders>
              <w:top w:val="single" w:color="000000" w:sz="4" w:space="0"/>
              <w:left w:val="single" w:color="000000" w:sz="4" w:space="0"/>
              <w:bottom w:val="nil"/>
              <w:right w:val="single" w:color="000000" w:sz="4" w:space="0"/>
            </w:tcBorders>
            <w:shd w:val="clear" w:color="auto" w:fill="auto"/>
            <w:vAlign w:val="center"/>
          </w:tcPr>
          <w:p w14:paraId="6FC0BD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63" w:type="pct"/>
            <w:tcBorders>
              <w:top w:val="single" w:color="000000" w:sz="4" w:space="0"/>
              <w:left w:val="single" w:color="000000" w:sz="4" w:space="0"/>
              <w:bottom w:val="nil"/>
              <w:right w:val="single" w:color="000000" w:sz="4" w:space="0"/>
            </w:tcBorders>
            <w:shd w:val="clear" w:color="auto" w:fill="auto"/>
            <w:vAlign w:val="center"/>
          </w:tcPr>
          <w:p w14:paraId="365F3A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99" w:type="pct"/>
            <w:tcBorders>
              <w:top w:val="single" w:color="000000" w:sz="4" w:space="0"/>
              <w:left w:val="single" w:color="000000" w:sz="4" w:space="0"/>
              <w:bottom w:val="nil"/>
              <w:right w:val="single" w:color="000000" w:sz="4" w:space="0"/>
            </w:tcBorders>
            <w:shd w:val="clear" w:color="auto" w:fill="auto"/>
            <w:vAlign w:val="center"/>
          </w:tcPr>
          <w:p w14:paraId="513649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66" w:type="pct"/>
            <w:tcBorders>
              <w:top w:val="single" w:color="000000" w:sz="4" w:space="0"/>
              <w:left w:val="single" w:color="000000" w:sz="4" w:space="0"/>
              <w:bottom w:val="nil"/>
              <w:right w:val="single" w:color="000000" w:sz="4" w:space="0"/>
            </w:tcBorders>
            <w:shd w:val="clear" w:color="auto" w:fill="auto"/>
            <w:vAlign w:val="center"/>
          </w:tcPr>
          <w:p w14:paraId="14781354">
            <w:pPr>
              <w:snapToGrid w:val="0"/>
              <w:jc w:val="center"/>
              <w:rPr>
                <w:rFonts w:hint="eastAsia" w:ascii="宋体" w:hAnsi="宋体" w:eastAsia="宋体" w:cs="宋体"/>
                <w:i w:val="0"/>
                <w:iCs w:val="0"/>
                <w:color w:val="000000"/>
                <w:sz w:val="18"/>
                <w:szCs w:val="18"/>
                <w:u w:val="none"/>
              </w:rPr>
            </w:pPr>
          </w:p>
        </w:tc>
      </w:tr>
      <w:tr w14:paraId="52E60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569"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F251F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EDE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7CE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7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905DE">
            <w:pPr>
              <w:snapToGrid w:val="0"/>
              <w:jc w:val="center"/>
              <w:rPr>
                <w:rFonts w:hint="eastAsia" w:ascii="宋体" w:hAnsi="宋体" w:eastAsia="宋体" w:cs="宋体"/>
                <w:i w:val="0"/>
                <w:iCs w:val="0"/>
                <w:color w:val="000000"/>
                <w:sz w:val="18"/>
                <w:szCs w:val="18"/>
                <w:u w:val="none"/>
              </w:rPr>
            </w:pPr>
          </w:p>
        </w:tc>
      </w:tr>
    </w:tbl>
    <w:p w14:paraId="7046C5B1">
      <w:pPr>
        <w:widowControl/>
        <w:spacing w:before="240" w:after="240"/>
        <w:rPr>
          <w:rFonts w:ascii="仿宋_GB2312" w:hAnsi="仿宋_GB2312" w:eastAsia="仿宋_GB2312" w:cs="仿宋_GB2312"/>
          <w:color w:val="1200FF"/>
          <w:kern w:val="0"/>
          <w:sz w:val="27"/>
          <w:szCs w:val="27"/>
        </w:rPr>
      </w:pPr>
    </w:p>
    <w:p w14:paraId="331A578F">
      <w:pPr>
        <w:widowControl/>
        <w:spacing w:before="240" w:after="240"/>
        <w:jc w:val="left"/>
        <w:rPr>
          <w:rFonts w:hint="eastAsia" w:ascii="楷体" w:hAnsi="楷体" w:eastAsia="楷体" w:cs="楷体"/>
          <w:kern w:val="0"/>
          <w:sz w:val="32"/>
          <w:szCs w:val="32"/>
        </w:rPr>
      </w:pPr>
      <w:r>
        <w:rPr>
          <w:rFonts w:hint="eastAsia" w:ascii="楷体" w:hAnsi="楷体" w:eastAsia="楷体" w:cs="楷体"/>
          <w:b/>
          <w:bCs/>
          <w:kern w:val="0"/>
          <w:sz w:val="32"/>
          <w:szCs w:val="32"/>
        </w:rPr>
        <w:t>    （三）部门项目绩效评价结果。</w:t>
      </w:r>
    </w:p>
    <w:p w14:paraId="32712AD7">
      <w:pPr>
        <w:widowControl/>
        <w:spacing w:before="240" w:after="240"/>
        <w:jc w:val="left"/>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以</w:t>
      </w:r>
      <w:r>
        <w:rPr>
          <w:rFonts w:hint="eastAsia" w:ascii="仿宋" w:hAnsi="仿宋" w:eastAsia="仿宋" w:cs="仿宋"/>
          <w:kern w:val="0"/>
          <w:sz w:val="32"/>
          <w:szCs w:val="32"/>
          <w:lang w:val="en-US" w:eastAsia="zh-CN"/>
        </w:rPr>
        <w:t>健康知识普及行动</w:t>
      </w:r>
      <w:r>
        <w:rPr>
          <w:rFonts w:hint="eastAsia" w:ascii="仿宋" w:hAnsi="仿宋" w:eastAsia="仿宋" w:cs="仿宋"/>
          <w:kern w:val="0"/>
          <w:sz w:val="32"/>
          <w:szCs w:val="32"/>
        </w:rPr>
        <w:t>项目为例，该项目绩效评价综合得分为</w:t>
      </w:r>
      <w:r>
        <w:rPr>
          <w:rFonts w:hint="eastAsia" w:ascii="仿宋" w:hAnsi="仿宋" w:eastAsia="仿宋" w:cs="仿宋"/>
          <w:kern w:val="0"/>
          <w:sz w:val="32"/>
          <w:szCs w:val="32"/>
          <w:u w:val="single"/>
          <w:lang w:val="en-US" w:eastAsia="zh-CN"/>
        </w:rPr>
        <w:t>100</w:t>
      </w:r>
      <w:r>
        <w:rPr>
          <w:rFonts w:hint="eastAsia" w:ascii="仿宋" w:hAnsi="仿宋" w:eastAsia="仿宋" w:cs="仿宋"/>
          <w:kern w:val="0"/>
          <w:sz w:val="32"/>
          <w:szCs w:val="32"/>
        </w:rPr>
        <w:t>分，绩效评价结果为“优”。</w:t>
      </w:r>
      <w:r>
        <w:rPr>
          <w:rFonts w:hint="eastAsia" w:ascii="仿宋" w:hAnsi="仿宋" w:eastAsia="仿宋" w:cs="仿宋"/>
          <w:kern w:val="0"/>
          <w:sz w:val="32"/>
          <w:szCs w:val="32"/>
          <w:lang w:val="en-US" w:eastAsia="zh-CN"/>
        </w:rPr>
        <w:t>我单位无重点项目绩效评价</w:t>
      </w:r>
      <w:r>
        <w:rPr>
          <w:rFonts w:hint="eastAsia" w:ascii="仿宋" w:hAnsi="仿宋" w:eastAsia="仿宋" w:cs="仿宋"/>
          <w:kern w:val="0"/>
          <w:sz w:val="32"/>
          <w:szCs w:val="32"/>
        </w:rPr>
        <w:t>。</w:t>
      </w:r>
    </w:p>
    <w:p w14:paraId="3FB27AE0">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第三部分 名词解释</w:t>
      </w:r>
    </w:p>
    <w:p w14:paraId="143C5CC8">
      <w:pPr>
        <w:widowControl/>
        <w:spacing w:before="240" w:after="240"/>
        <w:jc w:val="left"/>
        <w:rPr>
          <w:rFonts w:hint="eastAsia" w:ascii="仿宋" w:hAnsi="仿宋" w:eastAsia="仿宋" w:cs="仿宋"/>
          <w:kern w:val="0"/>
          <w:sz w:val="32"/>
          <w:szCs w:val="32"/>
        </w:rPr>
      </w:pPr>
      <w:r>
        <w:rPr>
          <w:rFonts w:ascii="仿宋_GB2312" w:hAnsi="仿宋_GB2312" w:eastAsia="仿宋_GB2312" w:cs="仿宋_GB2312"/>
          <w:b/>
          <w:bCs/>
          <w:kern w:val="0"/>
          <w:sz w:val="27"/>
          <w:szCs w:val="27"/>
        </w:rPr>
        <w:t xml:space="preserve">  </w:t>
      </w:r>
      <w:r>
        <w:rPr>
          <w:rFonts w:hint="eastAsia" w:ascii="仿宋" w:hAnsi="仿宋" w:eastAsia="仿宋" w:cs="仿宋"/>
          <w:b/>
          <w:bCs/>
          <w:kern w:val="0"/>
          <w:sz w:val="32"/>
          <w:szCs w:val="32"/>
        </w:rPr>
        <w:t>  一、财政拨款收入：</w:t>
      </w:r>
      <w:r>
        <w:rPr>
          <w:rFonts w:hint="eastAsia" w:ascii="仿宋" w:hAnsi="仿宋" w:eastAsia="仿宋" w:cs="仿宋"/>
          <w:kern w:val="0"/>
          <w:sz w:val="32"/>
          <w:szCs w:val="32"/>
        </w:rPr>
        <w:t>从同级财政部门取得的各类财政拨款，包括一般公共预算财政拨款、政府性基金预算财政拨款、国有资本经营预算财政拨款。</w:t>
      </w:r>
    </w:p>
    <w:p w14:paraId="754D7BD7">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二、上级补助收入：</w:t>
      </w:r>
      <w:r>
        <w:rPr>
          <w:rFonts w:hint="eastAsia" w:ascii="仿宋" w:hAnsi="仿宋" w:eastAsia="仿宋" w:cs="仿宋"/>
          <w:kern w:val="0"/>
          <w:sz w:val="32"/>
          <w:szCs w:val="32"/>
        </w:rPr>
        <w:t>指事业单位从主管部门和上级单位取得的非财政补助收入。</w:t>
      </w:r>
    </w:p>
    <w:p w14:paraId="7EB26E05">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三、财政专户管理教育收费：</w:t>
      </w:r>
      <w:r>
        <w:rPr>
          <w:rFonts w:hint="eastAsia" w:ascii="仿宋" w:hAnsi="仿宋" w:eastAsia="仿宋" w:cs="仿宋"/>
          <w:kern w:val="0"/>
          <w:sz w:val="32"/>
          <w:szCs w:val="32"/>
        </w:rPr>
        <w:t>指缴入财政专户、实行专项管理的高中以上学费、住宿费、高校委托培养费、函大、电大、夜大及短训班培训费等教育收费。</w:t>
      </w:r>
    </w:p>
    <w:p w14:paraId="42581797">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四、事业收入：</w:t>
      </w:r>
      <w:r>
        <w:rPr>
          <w:rFonts w:hint="eastAsia" w:ascii="仿宋" w:hAnsi="仿宋" w:eastAsia="仿宋" w:cs="仿宋"/>
          <w:kern w:val="0"/>
          <w:sz w:val="32"/>
          <w:szCs w:val="32"/>
        </w:rPr>
        <w:t>指事业单位开展专业业务活动及其辅助活动取得的收入。</w:t>
      </w:r>
    </w:p>
    <w:p w14:paraId="227D1428">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五、经营收入：</w:t>
      </w:r>
      <w:r>
        <w:rPr>
          <w:rFonts w:hint="eastAsia" w:ascii="仿宋" w:hAnsi="仿宋" w:eastAsia="仿宋" w:cs="仿宋"/>
          <w:kern w:val="0"/>
          <w:sz w:val="32"/>
          <w:szCs w:val="32"/>
        </w:rPr>
        <w:t>指事业单位在专业业务活动及其辅助活动之外开展非独立核算经营活动取得的收入。</w:t>
      </w:r>
    </w:p>
    <w:p w14:paraId="57C38E0B">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六、附属单位上缴收入：</w:t>
      </w:r>
      <w:r>
        <w:rPr>
          <w:rFonts w:hint="eastAsia" w:ascii="仿宋" w:hAnsi="仿宋" w:eastAsia="仿宋" w:cs="仿宋"/>
          <w:kern w:val="0"/>
          <w:sz w:val="32"/>
          <w:szCs w:val="32"/>
        </w:rPr>
        <w:t>指事业单位取得附属独立核算单位按照有关规定上缴的收入。</w:t>
      </w:r>
    </w:p>
    <w:p w14:paraId="7D69A90F">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七、其他收入：</w:t>
      </w:r>
      <w:r>
        <w:rPr>
          <w:rFonts w:hint="eastAsia" w:ascii="仿宋" w:hAnsi="仿宋" w:eastAsia="仿宋" w:cs="仿宋"/>
          <w:kern w:val="0"/>
          <w:sz w:val="32"/>
          <w:szCs w:val="32"/>
        </w:rPr>
        <w:t>取得的除上述财政拨款收入、上级补助收入、事业收入、经营收入、附属单位上缴收入等以外的各项收入。</w:t>
      </w:r>
    </w:p>
    <w:p w14:paraId="6790B0B7">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八、使用非财政拨款结余（含专用结余）：</w:t>
      </w:r>
      <w:r>
        <w:rPr>
          <w:rFonts w:hint="eastAsia" w:ascii="仿宋" w:hAnsi="仿宋" w:eastAsia="仿宋" w:cs="仿宋"/>
          <w:kern w:val="0"/>
          <w:sz w:val="32"/>
          <w:szCs w:val="32"/>
        </w:rPr>
        <w:t>指事业单位按照预算管理要求使用非财政拨款结余</w:t>
      </w:r>
      <w:r>
        <w:rPr>
          <w:rFonts w:hint="eastAsia" w:ascii="仿宋" w:hAnsi="仿宋" w:eastAsia="仿宋" w:cs="仿宋"/>
          <w:color w:val="000000"/>
          <w:kern w:val="0"/>
          <w:sz w:val="32"/>
          <w:szCs w:val="32"/>
        </w:rPr>
        <w:t>弥补收支差额的金额，以及使用专用结余安排支出的金额。</w:t>
      </w:r>
    </w:p>
    <w:p w14:paraId="77D2E7BF">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九、年初结转和结余：</w:t>
      </w:r>
      <w:r>
        <w:rPr>
          <w:rFonts w:hint="eastAsia" w:ascii="仿宋" w:hAnsi="仿宋" w:eastAsia="仿宋" w:cs="仿宋"/>
          <w:kern w:val="0"/>
          <w:sz w:val="32"/>
          <w:szCs w:val="32"/>
        </w:rPr>
        <w:t>指单位上年结转本年使用的基本支出结转、项目支出结转和结余、经营结余。</w:t>
      </w:r>
    </w:p>
    <w:p w14:paraId="1486D79F">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十、结余分配：</w:t>
      </w:r>
      <w:r>
        <w:rPr>
          <w:rFonts w:hint="eastAsia" w:ascii="仿宋" w:hAnsi="仿宋" w:eastAsia="仿宋" w:cs="仿宋"/>
          <w:kern w:val="0"/>
          <w:sz w:val="32"/>
          <w:szCs w:val="32"/>
        </w:rPr>
        <w:t>指单位按规定缴纳企业所得税以及从非财政拨款结余或经营结余中提取各类结余的情况。</w:t>
      </w:r>
    </w:p>
    <w:p w14:paraId="765122E0">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十一、年末结转和结余资金：</w:t>
      </w:r>
      <w:r>
        <w:rPr>
          <w:rFonts w:hint="eastAsia" w:ascii="仿宋" w:hAnsi="仿宋" w:eastAsia="仿宋" w:cs="仿宋"/>
          <w:kern w:val="0"/>
          <w:sz w:val="32"/>
          <w:szCs w:val="32"/>
        </w:rPr>
        <w:t>指单位结转下年的基本支出结转、项目支出结转和结余、经营结余。</w:t>
      </w:r>
    </w:p>
    <w:p w14:paraId="3DD0DDA8">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十二、基本支出：</w:t>
      </w:r>
      <w:r>
        <w:rPr>
          <w:rFonts w:hint="eastAsia" w:ascii="仿宋" w:hAnsi="仿宋" w:eastAsia="仿宋" w:cs="仿宋"/>
          <w:kern w:val="0"/>
          <w:sz w:val="32"/>
          <w:szCs w:val="32"/>
        </w:rPr>
        <w:t>指为保障机构正常运转、完成日常工作任务所发生的支出，包括人员经费和公用经费。</w:t>
      </w:r>
    </w:p>
    <w:p w14:paraId="2F32EAD2">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十三、项目支出：</w:t>
      </w:r>
      <w:r>
        <w:rPr>
          <w:rFonts w:hint="eastAsia" w:ascii="仿宋" w:hAnsi="仿宋" w:eastAsia="仿宋" w:cs="仿宋"/>
          <w:kern w:val="0"/>
          <w:sz w:val="32"/>
          <w:szCs w:val="32"/>
        </w:rPr>
        <w:t>指在为完成特定的行政工作任务或事业发展目标所发生的支出。</w:t>
      </w:r>
    </w:p>
    <w:p w14:paraId="7A108F29">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十四、上缴上级支出：</w:t>
      </w:r>
      <w:r>
        <w:rPr>
          <w:rFonts w:hint="eastAsia" w:ascii="仿宋" w:hAnsi="仿宋" w:eastAsia="仿宋" w:cs="仿宋"/>
          <w:kern w:val="0"/>
          <w:sz w:val="32"/>
          <w:szCs w:val="32"/>
        </w:rPr>
        <w:t>指事业单位按照财政部门和主管部门的规定上缴上级单位的支出。</w:t>
      </w:r>
    </w:p>
    <w:p w14:paraId="3341C0C7">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十五、经营支出：</w:t>
      </w:r>
      <w:r>
        <w:rPr>
          <w:rFonts w:hint="eastAsia" w:ascii="仿宋" w:hAnsi="仿宋" w:eastAsia="仿宋" w:cs="仿宋"/>
          <w:kern w:val="0"/>
          <w:sz w:val="32"/>
          <w:szCs w:val="32"/>
        </w:rPr>
        <w:t>指事业单位在专业业务活动及其辅助活动之外开展非独立核算经营活动发生的支出。</w:t>
      </w:r>
    </w:p>
    <w:p w14:paraId="133F3D5C">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十六、对附属单位补助支出：</w:t>
      </w:r>
      <w:r>
        <w:rPr>
          <w:rFonts w:hint="eastAsia" w:ascii="仿宋" w:hAnsi="仿宋" w:eastAsia="仿宋" w:cs="仿宋"/>
          <w:kern w:val="0"/>
          <w:sz w:val="32"/>
          <w:szCs w:val="32"/>
        </w:rPr>
        <w:t>指事业单位用财政拨款收入之外的收入对附属单位补助发生的支出。</w:t>
      </w:r>
    </w:p>
    <w:p w14:paraId="2AD3EF24">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十七、“三公”经费：</w:t>
      </w:r>
      <w:r>
        <w:rPr>
          <w:rFonts w:hint="eastAsia" w:ascii="仿宋" w:hAnsi="仿宋" w:eastAsia="仿宋" w:cs="仿宋"/>
          <w:kern w:val="0"/>
          <w:sz w:val="32"/>
          <w:szCs w:val="32"/>
        </w:rPr>
        <w:t>指部门（单位）用财政拨款安排的因公出国（境）费、公务用车购置及运行维护费和公务接待费。其中，因公出国（境）费反映部门（单位）)公务出国（境）的国际旅费、国外城市间交通费、住宿费、伙食费、培训费、公杂费等支出；公务用车购置及运行维护费反映部门（单位）公务用车购置支出（含车辆购置税、牌照费）以及按规定保留的公务用车燃料费、维修费、过路过桥费、保险费、安全奖励费用等支出；公务接待费反映部门（单位）按规定开支的各类公务接待（含外宾接待）费用。</w:t>
      </w:r>
    </w:p>
    <w:p w14:paraId="670C5D2D">
      <w:pPr>
        <w:widowControl/>
        <w:spacing w:before="240" w:after="240"/>
        <w:jc w:val="left"/>
        <w:rPr>
          <w:rFonts w:hint="eastAsia" w:ascii="仿宋" w:hAnsi="仿宋" w:eastAsia="仿宋" w:cs="仿宋"/>
          <w:kern w:val="0"/>
          <w:sz w:val="32"/>
          <w:szCs w:val="32"/>
        </w:rPr>
      </w:pPr>
      <w:r>
        <w:rPr>
          <w:rFonts w:hint="eastAsia" w:ascii="仿宋" w:hAnsi="仿宋" w:eastAsia="仿宋" w:cs="仿宋"/>
          <w:b/>
          <w:bCs/>
          <w:kern w:val="0"/>
          <w:sz w:val="32"/>
          <w:szCs w:val="32"/>
        </w:rPr>
        <w:t>    十八、机关运行经费：</w:t>
      </w:r>
      <w:r>
        <w:rPr>
          <w:rFonts w:hint="eastAsia" w:ascii="仿宋" w:hAnsi="仿宋" w:eastAsia="仿宋" w:cs="仿宋"/>
          <w:color w:val="000000"/>
          <w:kern w:val="0"/>
          <w:sz w:val="32"/>
          <w:szCs w:val="32"/>
        </w:rPr>
        <w:t>指行政单位和参照公务员法管理的事业单位财政拨款</w:t>
      </w:r>
      <w:r>
        <w:rPr>
          <w:rFonts w:hint="eastAsia" w:ascii="仿宋" w:hAnsi="仿宋" w:eastAsia="仿宋" w:cs="仿宋"/>
          <w:kern w:val="0"/>
          <w:sz w:val="32"/>
          <w:szCs w:val="32"/>
        </w:rPr>
        <w:t>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3B8E37A5">
      <w:pPr>
        <w:widowControl/>
        <w:spacing w:before="240" w:after="240"/>
        <w:jc w:val="left"/>
        <w:rPr>
          <w:rFonts w:eastAsia="Times New Roman"/>
          <w:kern w:val="0"/>
          <w:sz w:val="24"/>
        </w:rPr>
      </w:pPr>
      <w:r>
        <w:rPr>
          <w:rFonts w:ascii="仿宋_GB2312" w:hAnsi="仿宋_GB2312" w:eastAsia="仿宋_GB2312" w:cs="仿宋_GB2312"/>
          <w:color w:val="0E00FE"/>
          <w:kern w:val="0"/>
          <w:sz w:val="27"/>
          <w:szCs w:val="27"/>
        </w:rPr>
        <w:t xml:space="preserve">  </w:t>
      </w:r>
    </w:p>
    <w:p w14:paraId="49B33759">
      <w:pPr>
        <w:widowControl/>
        <w:spacing w:before="240" w:after="240"/>
        <w:jc w:val="left"/>
        <w:rPr>
          <w:rFonts w:eastAsia="Times New Roman"/>
          <w:kern w:val="0"/>
          <w:sz w:val="24"/>
        </w:rPr>
      </w:pPr>
    </w:p>
    <w:p w14:paraId="0E55F778">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第四部分 决算公开联系方式及信息反馈渠道</w:t>
      </w:r>
    </w:p>
    <w:p w14:paraId="65AE3301">
      <w:pPr>
        <w:widowControl/>
        <w:spacing w:before="240" w:after="240"/>
        <w:jc w:val="left"/>
        <w:rPr>
          <w:rFonts w:eastAsia="Times New Roman"/>
          <w:kern w:val="0"/>
          <w:sz w:val="24"/>
        </w:rPr>
      </w:pPr>
    </w:p>
    <w:p w14:paraId="6769C20B">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    本部门（单位）决算公开信息反馈和联系方式：</w:t>
      </w:r>
    </w:p>
    <w:p w14:paraId="4CCC5EBA">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    联系人：</w:t>
      </w:r>
      <w:r>
        <w:rPr>
          <w:rFonts w:hint="eastAsia" w:ascii="仿宋" w:hAnsi="仿宋" w:eastAsia="仿宋" w:cs="仿宋"/>
          <w:kern w:val="0"/>
          <w:sz w:val="32"/>
          <w:szCs w:val="32"/>
          <w:u w:val="single"/>
          <w:lang w:val="en-US" w:eastAsia="zh-CN"/>
        </w:rPr>
        <w:t>李林</w:t>
      </w:r>
      <w:r>
        <w:rPr>
          <w:rFonts w:hint="eastAsia" w:ascii="仿宋" w:hAnsi="仿宋" w:eastAsia="仿宋" w:cs="仿宋"/>
          <w:kern w:val="0"/>
          <w:sz w:val="32"/>
          <w:szCs w:val="32"/>
        </w:rPr>
        <w:t>          联系电话：</w:t>
      </w:r>
      <w:r>
        <w:rPr>
          <w:rFonts w:hint="eastAsia" w:ascii="仿宋" w:hAnsi="仿宋" w:eastAsia="仿宋" w:cs="仿宋"/>
          <w:kern w:val="0"/>
          <w:sz w:val="32"/>
          <w:szCs w:val="32"/>
          <w:u w:val="single"/>
        </w:rPr>
        <w:t>0473-</w:t>
      </w:r>
      <w:r>
        <w:rPr>
          <w:rFonts w:hint="eastAsia" w:ascii="仿宋" w:hAnsi="仿宋" w:eastAsia="仿宋" w:cs="仿宋"/>
          <w:kern w:val="0"/>
          <w:sz w:val="32"/>
          <w:szCs w:val="32"/>
          <w:u w:val="single"/>
          <w:lang w:val="en-US" w:eastAsia="zh-CN"/>
        </w:rPr>
        <w:t>8992293</w:t>
      </w:r>
      <w:r>
        <w:rPr>
          <w:rFonts w:hint="eastAsia" w:ascii="仿宋" w:hAnsi="仿宋" w:eastAsia="仿宋" w:cs="仿宋"/>
          <w:kern w:val="0"/>
          <w:sz w:val="32"/>
          <w:szCs w:val="32"/>
          <w:u w:val="single"/>
        </w:rPr>
        <w:t> </w:t>
      </w:r>
    </w:p>
    <w:p w14:paraId="206C5A6E">
      <w:pPr>
        <w:widowControl/>
        <w:spacing w:before="240" w:after="240"/>
        <w:jc w:val="left"/>
        <w:rPr>
          <w:rFonts w:eastAsia="Times New Roman"/>
          <w:kern w:val="0"/>
          <w:sz w:val="24"/>
        </w:rPr>
      </w:pPr>
    </w:p>
    <w:p w14:paraId="1CAFDFD2">
      <w:pPr>
        <w:pStyle w:val="3"/>
        <w:keepNext w:val="0"/>
        <w:keepLines w:val="0"/>
        <w:widowControl/>
        <w:spacing w:before="299" w:after="299" w:line="240" w:lineRule="auto"/>
        <w:jc w:val="center"/>
        <w:rPr>
          <w:rFonts w:ascii="Times New Roman" w:hAnsi="Times New Roman" w:eastAsia="Times New Roman"/>
          <w:kern w:val="0"/>
          <w:sz w:val="36"/>
          <w:szCs w:val="36"/>
        </w:rPr>
      </w:pPr>
      <w:r>
        <w:rPr>
          <w:rFonts w:ascii="fang_zheng_xiao_biao_song_ti" w:hAnsi="fang_zheng_xiao_biao_song_ti" w:eastAsia="fang_zheng_xiao_biao_song_ti" w:cs="fang_zheng_xiao_biao_song_ti"/>
          <w:kern w:val="0"/>
          <w:sz w:val="36"/>
          <w:szCs w:val="36"/>
        </w:rPr>
        <w:t>第五部分 单位决算表</w:t>
      </w:r>
    </w:p>
    <w:p w14:paraId="1F169C72">
      <w:pPr>
        <w:widowControl/>
        <w:spacing w:before="240" w:after="240"/>
        <w:jc w:val="center"/>
        <w:rPr>
          <w:rFonts w:eastAsia="Times New Roman"/>
          <w:kern w:val="0"/>
          <w:sz w:val="24"/>
        </w:rPr>
      </w:pPr>
    </w:p>
    <w:p w14:paraId="441E17CA">
      <w:pPr>
        <w:widowControl/>
        <w:spacing w:before="240" w:after="240"/>
        <w:jc w:val="left"/>
        <w:rPr>
          <w:rFonts w:eastAsia="Times New Roman"/>
          <w:kern w:val="0"/>
          <w:sz w:val="24"/>
        </w:rPr>
      </w:pPr>
      <w:r>
        <w:rPr>
          <w:rFonts w:ascii="仿宋_GB2312" w:hAnsi="仿宋_GB2312" w:eastAsia="仿宋_GB2312" w:cs="仿宋_GB2312"/>
          <w:kern w:val="0"/>
          <w:sz w:val="27"/>
          <w:szCs w:val="27"/>
        </w:rPr>
        <w:t>    见附件。</w:t>
      </w:r>
    </w:p>
    <w:p w14:paraId="3192BCD8">
      <w:pPr>
        <w:widowControl/>
        <w:spacing w:before="240" w:after="240"/>
        <w:jc w:val="left"/>
        <w:rPr>
          <w:rFonts w:eastAsia="Times New Roman"/>
          <w:kern w:val="0"/>
          <w:sz w:val="24"/>
        </w:rPr>
      </w:pPr>
    </w:p>
    <w:p w14:paraId="10BDF723">
      <w:pPr>
        <w:widowControl/>
        <w:spacing w:before="240" w:after="240"/>
        <w:jc w:val="left"/>
        <w:rPr>
          <w:rFonts w:eastAsia="Times New Roman"/>
          <w:kern w:val="0"/>
          <w:sz w:val="24"/>
        </w:rPr>
      </w:pPr>
    </w:p>
    <w:p w14:paraId="4F1CDD6B">
      <w:pPr>
        <w:widowControl/>
        <w:spacing w:before="240" w:after="240"/>
        <w:jc w:val="left"/>
        <w:rPr>
          <w:rFonts w:eastAsia="Times New Roman"/>
          <w:kern w:val="0"/>
          <w:sz w:val="24"/>
        </w:rPr>
      </w:pPr>
    </w:p>
    <w:p w14:paraId="4E00C681">
      <w:pPr>
        <w:widowControl/>
        <w:spacing w:before="240" w:after="240"/>
        <w:jc w:val="left"/>
        <w:rPr>
          <w:rFonts w:eastAsia="Times New Roman"/>
          <w:kern w:val="0"/>
          <w:sz w:val="24"/>
        </w:rPr>
      </w:pPr>
    </w:p>
    <w:bookmarkEnd w:id="0"/>
    <w:p w14:paraId="2F61B825">
      <w:pPr>
        <w:adjustRightInd w:val="0"/>
        <w:snapToGrid w:val="0"/>
        <w:rPr>
          <w:rFonts w:ascii="宋体" w:hAnsi="宋体"/>
          <w:b/>
          <w:sz w:val="32"/>
          <w:szCs w:val="32"/>
        </w:rPr>
      </w:pPr>
    </w:p>
    <w:p w14:paraId="21283325">
      <w:pPr>
        <w:adjustRightInd w:val="0"/>
        <w:snapToGrid w:val="0"/>
        <w:rPr>
          <w:rFonts w:ascii="宋体" w:hAnsi="宋体"/>
          <w:b/>
          <w:sz w:val="32"/>
          <w:szCs w:val="32"/>
        </w:rPr>
      </w:pPr>
    </w:p>
    <w:p w14:paraId="049B02FA">
      <w:pPr>
        <w:tabs>
          <w:tab w:val="left" w:pos="8415"/>
        </w:tabs>
      </w:pPr>
    </w:p>
    <w:sectPr>
      <w:footerReference r:id="rId4" w:type="default"/>
      <w:pgSz w:w="11906" w:h="16838"/>
      <w:pgMar w:top="1440" w:right="1083" w:bottom="1440" w:left="1083" w:header="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F371A3C-AC0C-441C-9399-5F04CCB7C055}"/>
  </w:font>
  <w:font w:name="黑体">
    <w:panose1 w:val="02010609060101010101"/>
    <w:charset w:val="86"/>
    <w:family w:val="auto"/>
    <w:pitch w:val="default"/>
    <w:sig w:usb0="800002BF" w:usb1="38CF7CFA" w:usb2="00000016" w:usb3="00000000" w:csb0="00040001" w:csb1="00000000"/>
    <w:embedRegular r:id="rId2" w:fontKey="{5191C213-CBF0-4810-8E54-5B6B79C0DF1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6E1F997A-DF4F-4C7E-90A3-E5DEB8E372A1}"/>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4" w:fontKey="{771FEA7C-ECC9-48E1-9919-60A8A2CF6020}"/>
  </w:font>
  <w:font w:name="仿宋">
    <w:panose1 w:val="02010609060101010101"/>
    <w:charset w:val="86"/>
    <w:family w:val="modern"/>
    <w:pitch w:val="default"/>
    <w:sig w:usb0="800002BF" w:usb1="38CF7CFA" w:usb2="00000016" w:usb3="00000000" w:csb0="00040001" w:csb1="00000000"/>
    <w:embedRegular r:id="rId5" w:fontKey="{258737D6-9964-4E2B-B9AD-6B305C613CDD}"/>
  </w:font>
  <w:font w:name="方正小标宋简体">
    <w:panose1 w:val="02000000000000000000"/>
    <w:charset w:val="86"/>
    <w:family w:val="auto"/>
    <w:pitch w:val="default"/>
    <w:sig w:usb0="00000001" w:usb1="08000000" w:usb2="00000000" w:usb3="00000000" w:csb0="00040000" w:csb1="00000000"/>
    <w:embedRegular r:id="rId6" w:fontKey="{DF81A7A3-8DEA-42CE-AFF1-8C1ACAA94998}"/>
  </w:font>
  <w:font w:name="楷体">
    <w:panose1 w:val="02010609060101010101"/>
    <w:charset w:val="86"/>
    <w:family w:val="auto"/>
    <w:pitch w:val="default"/>
    <w:sig w:usb0="800002BF" w:usb1="38CF7CFA" w:usb2="00000016" w:usb3="00000000" w:csb0="00040001" w:csb1="00000000"/>
    <w:embedRegular r:id="rId7" w:fontKey="{DD68160C-9F2F-494E-9B0D-22C1FE53DDAD}"/>
  </w:font>
  <w:font w:name="kai_ti_gb2312">
    <w:altName w:val="Times New Roman"/>
    <w:panose1 w:val="00000000000000000000"/>
    <w:charset w:val="00"/>
    <w:family w:val="roman"/>
    <w:pitch w:val="default"/>
    <w:sig w:usb0="00000000" w:usb1="00000000" w:usb2="00000000" w:usb3="00000000" w:csb0="00000000" w:csb1="00000000"/>
    <w:embedRegular r:id="rId8" w:fontKey="{A82716C9-8D8A-4EEF-99E9-CC4405A0674A}"/>
  </w:font>
  <w:font w:name="times_new_roman">
    <w:altName w:val="Times New Roman"/>
    <w:panose1 w:val="00000000000000000000"/>
    <w:charset w:val="00"/>
    <w:family w:val="roman"/>
    <w:pitch w:val="default"/>
    <w:sig w:usb0="00000000" w:usb1="00000000" w:usb2="00000000" w:usb3="00000000" w:csb0="00000000" w:csb1="00000000"/>
    <w:embedRegular r:id="rId9" w:fontKey="{61A7F6BE-1417-42D9-891C-978D7D5DE26A}"/>
  </w:font>
  <w:font w:name="fang_zheng_xiao_biao_song_ti">
    <w:altName w:val="Times New Roman"/>
    <w:panose1 w:val="00000000000000000000"/>
    <w:charset w:val="00"/>
    <w:family w:val="roman"/>
    <w:pitch w:val="default"/>
    <w:sig w:usb0="00000000" w:usb1="00000000" w:usb2="00000000" w:usb3="00000000" w:csb0="00000000" w:csb1="00000000"/>
    <w:embedRegular r:id="rId10" w:fontKey="{6E6928C4-F1BB-4ECC-BEBE-79E00CD579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F46EC">
    <w:pPr>
      <w:jc w:val="center"/>
    </w:pPr>
    <w:r>
      <w:rPr>
        <w:rFonts w:ascii="宋体" w:hAnsi="宋体" w:cs="宋体"/>
        <w:sz w:val="18"/>
      </w:rPr>
      <w:fldChar w:fldCharType="begin"/>
    </w:r>
    <w:r>
      <w:rPr>
        <w:rFonts w:ascii="宋体" w:hAnsi="宋体" w:cs="宋体"/>
        <w:sz w:val="18"/>
      </w:rPr>
      <w:instrText xml:space="preserve"> PAGE </w:instrText>
    </w:r>
    <w:r>
      <w:rPr>
        <w:rFonts w:ascii="宋体" w:hAnsi="宋体" w:cs="宋体"/>
        <w:sz w:val="18"/>
      </w:rPr>
      <w:fldChar w:fldCharType="separate"/>
    </w:r>
    <w:r>
      <w:rPr>
        <w:rFonts w:ascii="宋体" w:hAnsi="宋体" w:cs="宋体"/>
        <w:sz w:val="18"/>
      </w:rPr>
      <w:t>1</w:t>
    </w:r>
    <w:r>
      <w:rPr>
        <w:rFonts w:ascii="宋体" w:hAnsi="宋体" w:cs="宋体"/>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DDAA96">
    <w:pPr>
      <w:pStyle w:val="11"/>
      <w:jc w:val="center"/>
    </w:pPr>
    <w:r>
      <w:fldChar w:fldCharType="begin"/>
    </w:r>
    <w:r>
      <w:instrText xml:space="preserve"> PAGE   \* MERGEFORMAT </w:instrText>
    </w:r>
    <w:r>
      <w:fldChar w:fldCharType="separate"/>
    </w:r>
    <w:r>
      <w:rPr>
        <w:lang w:val="zh-CN"/>
      </w:rPr>
      <w:t>25</w:t>
    </w:r>
    <w:r>
      <w:rPr>
        <w:lang w:val="zh-CN"/>
      </w:rPr>
      <w:fldChar w:fldCharType="end"/>
    </w:r>
  </w:p>
  <w:p w14:paraId="4A919196">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EAFDE3"/>
    <w:multiLevelType w:val="singleLevel"/>
    <w:tmpl w:val="30EAFDE3"/>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536"/>
    <w:rsid w:val="0000662F"/>
    <w:rsid w:val="00023E75"/>
    <w:rsid w:val="00033C6A"/>
    <w:rsid w:val="00063AC2"/>
    <w:rsid w:val="000774F0"/>
    <w:rsid w:val="0008308B"/>
    <w:rsid w:val="00097269"/>
    <w:rsid w:val="000A769F"/>
    <w:rsid w:val="000D3889"/>
    <w:rsid w:val="000E04B1"/>
    <w:rsid w:val="0010682D"/>
    <w:rsid w:val="001620BF"/>
    <w:rsid w:val="001814D4"/>
    <w:rsid w:val="00183373"/>
    <w:rsid w:val="001E7634"/>
    <w:rsid w:val="00204509"/>
    <w:rsid w:val="00225D2E"/>
    <w:rsid w:val="0023107E"/>
    <w:rsid w:val="00233241"/>
    <w:rsid w:val="00297C52"/>
    <w:rsid w:val="00300987"/>
    <w:rsid w:val="0030784F"/>
    <w:rsid w:val="00312846"/>
    <w:rsid w:val="00367870"/>
    <w:rsid w:val="00375E79"/>
    <w:rsid w:val="003A4E85"/>
    <w:rsid w:val="003B3EAA"/>
    <w:rsid w:val="00482D36"/>
    <w:rsid w:val="00490629"/>
    <w:rsid w:val="0049507B"/>
    <w:rsid w:val="004A738F"/>
    <w:rsid w:val="004B1589"/>
    <w:rsid w:val="004B721F"/>
    <w:rsid w:val="004D7065"/>
    <w:rsid w:val="004E0B6C"/>
    <w:rsid w:val="005011E1"/>
    <w:rsid w:val="00505A51"/>
    <w:rsid w:val="0051384E"/>
    <w:rsid w:val="00521603"/>
    <w:rsid w:val="00536012"/>
    <w:rsid w:val="0054657E"/>
    <w:rsid w:val="0059054F"/>
    <w:rsid w:val="00596608"/>
    <w:rsid w:val="005B4139"/>
    <w:rsid w:val="005C13AB"/>
    <w:rsid w:val="00667493"/>
    <w:rsid w:val="006C017F"/>
    <w:rsid w:val="006E7255"/>
    <w:rsid w:val="007003B2"/>
    <w:rsid w:val="007402A0"/>
    <w:rsid w:val="00762248"/>
    <w:rsid w:val="00763735"/>
    <w:rsid w:val="00787000"/>
    <w:rsid w:val="007A7BA5"/>
    <w:rsid w:val="007B6706"/>
    <w:rsid w:val="007C1FDD"/>
    <w:rsid w:val="007D6292"/>
    <w:rsid w:val="00857D98"/>
    <w:rsid w:val="00894C48"/>
    <w:rsid w:val="00896385"/>
    <w:rsid w:val="008A10DB"/>
    <w:rsid w:val="008B5455"/>
    <w:rsid w:val="009125DD"/>
    <w:rsid w:val="00954CD9"/>
    <w:rsid w:val="009A5EF3"/>
    <w:rsid w:val="009D6904"/>
    <w:rsid w:val="009E1EE8"/>
    <w:rsid w:val="009E227B"/>
    <w:rsid w:val="009E308A"/>
    <w:rsid w:val="009F0536"/>
    <w:rsid w:val="00A147CF"/>
    <w:rsid w:val="00A270BE"/>
    <w:rsid w:val="00A36C1D"/>
    <w:rsid w:val="00A517A0"/>
    <w:rsid w:val="00A62486"/>
    <w:rsid w:val="00AB013A"/>
    <w:rsid w:val="00AD11A5"/>
    <w:rsid w:val="00AE47F5"/>
    <w:rsid w:val="00AF5F33"/>
    <w:rsid w:val="00B27D51"/>
    <w:rsid w:val="00B32BEE"/>
    <w:rsid w:val="00B373AF"/>
    <w:rsid w:val="00B4208A"/>
    <w:rsid w:val="00B57D7A"/>
    <w:rsid w:val="00B76620"/>
    <w:rsid w:val="00B840CE"/>
    <w:rsid w:val="00B96C3D"/>
    <w:rsid w:val="00BD0928"/>
    <w:rsid w:val="00BE5F73"/>
    <w:rsid w:val="00BF4228"/>
    <w:rsid w:val="00C07A30"/>
    <w:rsid w:val="00C352FF"/>
    <w:rsid w:val="00C44231"/>
    <w:rsid w:val="00CC6B8B"/>
    <w:rsid w:val="00CD3751"/>
    <w:rsid w:val="00D2051A"/>
    <w:rsid w:val="00D405C5"/>
    <w:rsid w:val="00D96390"/>
    <w:rsid w:val="00E219E7"/>
    <w:rsid w:val="00E30CE0"/>
    <w:rsid w:val="00E3602E"/>
    <w:rsid w:val="00E60D6A"/>
    <w:rsid w:val="00E73321"/>
    <w:rsid w:val="00E77EC0"/>
    <w:rsid w:val="00E914C1"/>
    <w:rsid w:val="00E97C37"/>
    <w:rsid w:val="00EE533B"/>
    <w:rsid w:val="00F03A2B"/>
    <w:rsid w:val="00F04882"/>
    <w:rsid w:val="00F63327"/>
    <w:rsid w:val="00F80A29"/>
    <w:rsid w:val="00FA7CA5"/>
    <w:rsid w:val="00FD08EC"/>
    <w:rsid w:val="00FD7690"/>
    <w:rsid w:val="021B0676"/>
    <w:rsid w:val="0284231A"/>
    <w:rsid w:val="02867481"/>
    <w:rsid w:val="0345288B"/>
    <w:rsid w:val="0397607D"/>
    <w:rsid w:val="042807E2"/>
    <w:rsid w:val="04AB1DE0"/>
    <w:rsid w:val="04CB4231"/>
    <w:rsid w:val="053B7608"/>
    <w:rsid w:val="06F807E9"/>
    <w:rsid w:val="07544D94"/>
    <w:rsid w:val="090F782C"/>
    <w:rsid w:val="0B446362"/>
    <w:rsid w:val="0C965124"/>
    <w:rsid w:val="0CDF4D1D"/>
    <w:rsid w:val="0D16384B"/>
    <w:rsid w:val="0D3F3B5F"/>
    <w:rsid w:val="0D8E6D0D"/>
    <w:rsid w:val="0E612FA1"/>
    <w:rsid w:val="0E6B5003"/>
    <w:rsid w:val="0FF00FEF"/>
    <w:rsid w:val="11861B94"/>
    <w:rsid w:val="11C24C0D"/>
    <w:rsid w:val="11E44B84"/>
    <w:rsid w:val="12844F0A"/>
    <w:rsid w:val="14700951"/>
    <w:rsid w:val="156B7B06"/>
    <w:rsid w:val="16781D3E"/>
    <w:rsid w:val="17035AAC"/>
    <w:rsid w:val="17321AB6"/>
    <w:rsid w:val="1763654B"/>
    <w:rsid w:val="17C20BA8"/>
    <w:rsid w:val="183D3A7B"/>
    <w:rsid w:val="187622AE"/>
    <w:rsid w:val="18856B6B"/>
    <w:rsid w:val="1A12583D"/>
    <w:rsid w:val="1E6C42CE"/>
    <w:rsid w:val="1ED02718"/>
    <w:rsid w:val="1EFC297D"/>
    <w:rsid w:val="1F460C2C"/>
    <w:rsid w:val="22286F53"/>
    <w:rsid w:val="22833F45"/>
    <w:rsid w:val="229B0D12"/>
    <w:rsid w:val="23166B67"/>
    <w:rsid w:val="24066BDB"/>
    <w:rsid w:val="24447078"/>
    <w:rsid w:val="255874B6"/>
    <w:rsid w:val="25E46D6D"/>
    <w:rsid w:val="26414749"/>
    <w:rsid w:val="26634159"/>
    <w:rsid w:val="26D152FC"/>
    <w:rsid w:val="27924452"/>
    <w:rsid w:val="28E33487"/>
    <w:rsid w:val="28F25980"/>
    <w:rsid w:val="290A7832"/>
    <w:rsid w:val="298C38F4"/>
    <w:rsid w:val="2DAB007F"/>
    <w:rsid w:val="2DF9330D"/>
    <w:rsid w:val="2E156399"/>
    <w:rsid w:val="2E905A1F"/>
    <w:rsid w:val="3038636F"/>
    <w:rsid w:val="3095731D"/>
    <w:rsid w:val="30A43A04"/>
    <w:rsid w:val="33245299"/>
    <w:rsid w:val="34D04DC8"/>
    <w:rsid w:val="34D348B8"/>
    <w:rsid w:val="35255E7E"/>
    <w:rsid w:val="365657A0"/>
    <w:rsid w:val="368045CB"/>
    <w:rsid w:val="39D56C95"/>
    <w:rsid w:val="3C5239B7"/>
    <w:rsid w:val="3CB50B97"/>
    <w:rsid w:val="3CEE31DD"/>
    <w:rsid w:val="3D624A2B"/>
    <w:rsid w:val="3FA0645E"/>
    <w:rsid w:val="3FBA0B4E"/>
    <w:rsid w:val="4047116E"/>
    <w:rsid w:val="40780C09"/>
    <w:rsid w:val="40CD3D02"/>
    <w:rsid w:val="40F73225"/>
    <w:rsid w:val="426D00FA"/>
    <w:rsid w:val="43CA50F1"/>
    <w:rsid w:val="43E048FB"/>
    <w:rsid w:val="45E85CE9"/>
    <w:rsid w:val="46276812"/>
    <w:rsid w:val="48F549A5"/>
    <w:rsid w:val="4924528A"/>
    <w:rsid w:val="4B454A0A"/>
    <w:rsid w:val="4C646C09"/>
    <w:rsid w:val="4CEA0599"/>
    <w:rsid w:val="4D990842"/>
    <w:rsid w:val="4E946A0E"/>
    <w:rsid w:val="4F973503"/>
    <w:rsid w:val="4FEB4929"/>
    <w:rsid w:val="50D43A3A"/>
    <w:rsid w:val="51CD438B"/>
    <w:rsid w:val="53096FE2"/>
    <w:rsid w:val="550D3985"/>
    <w:rsid w:val="56197C4A"/>
    <w:rsid w:val="57396B47"/>
    <w:rsid w:val="576E1A17"/>
    <w:rsid w:val="583D1D79"/>
    <w:rsid w:val="5932703B"/>
    <w:rsid w:val="59897E96"/>
    <w:rsid w:val="59F44805"/>
    <w:rsid w:val="5B572F31"/>
    <w:rsid w:val="5BAC183B"/>
    <w:rsid w:val="5C763BF7"/>
    <w:rsid w:val="5C785C47"/>
    <w:rsid w:val="5DDE782E"/>
    <w:rsid w:val="5E4D2855"/>
    <w:rsid w:val="5E5166CA"/>
    <w:rsid w:val="5E547CF9"/>
    <w:rsid w:val="60172FFB"/>
    <w:rsid w:val="607C0B7C"/>
    <w:rsid w:val="60E120D1"/>
    <w:rsid w:val="60FB291D"/>
    <w:rsid w:val="6109503A"/>
    <w:rsid w:val="622B0FE0"/>
    <w:rsid w:val="630261E5"/>
    <w:rsid w:val="63332842"/>
    <w:rsid w:val="636278E8"/>
    <w:rsid w:val="652F0062"/>
    <w:rsid w:val="65732D4C"/>
    <w:rsid w:val="65B41E93"/>
    <w:rsid w:val="65CC5110"/>
    <w:rsid w:val="6663343E"/>
    <w:rsid w:val="667F0B62"/>
    <w:rsid w:val="67DA14DE"/>
    <w:rsid w:val="6844104D"/>
    <w:rsid w:val="68603915"/>
    <w:rsid w:val="69521573"/>
    <w:rsid w:val="6C75284A"/>
    <w:rsid w:val="6C9A56E0"/>
    <w:rsid w:val="6CFA5DEC"/>
    <w:rsid w:val="6D0370DF"/>
    <w:rsid w:val="6E5378F4"/>
    <w:rsid w:val="6E731D44"/>
    <w:rsid w:val="6E7D2BC3"/>
    <w:rsid w:val="6F8B1310"/>
    <w:rsid w:val="6FD256EB"/>
    <w:rsid w:val="713A123F"/>
    <w:rsid w:val="715715E7"/>
    <w:rsid w:val="71DE0782"/>
    <w:rsid w:val="72AC1CC9"/>
    <w:rsid w:val="730C2768"/>
    <w:rsid w:val="736D1458"/>
    <w:rsid w:val="73A063D2"/>
    <w:rsid w:val="748368B4"/>
    <w:rsid w:val="74E7348C"/>
    <w:rsid w:val="77F9150C"/>
    <w:rsid w:val="78012883"/>
    <w:rsid w:val="788F0D9D"/>
    <w:rsid w:val="78CE6AF9"/>
    <w:rsid w:val="798E6F68"/>
    <w:rsid w:val="7AAD767B"/>
    <w:rsid w:val="7B7D30DF"/>
    <w:rsid w:val="7E39546D"/>
    <w:rsid w:val="7EF053B6"/>
    <w:rsid w:val="7F2A3BB0"/>
    <w:rsid w:val="7FDD5B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7"/>
    <w:qFormat/>
    <w:uiPriority w:val="0"/>
    <w:pPr>
      <w:keepNext/>
      <w:keepLines/>
      <w:spacing w:before="260" w:after="260" w:line="416" w:lineRule="auto"/>
      <w:outlineLvl w:val="2"/>
    </w:pPr>
    <w:rPr>
      <w:b/>
      <w:bCs/>
      <w:sz w:val="32"/>
      <w:szCs w:val="32"/>
    </w:rPr>
  </w:style>
  <w:style w:type="paragraph" w:styleId="5">
    <w:name w:val="heading 4"/>
    <w:basedOn w:val="1"/>
    <w:next w:val="1"/>
    <w:link w:val="22"/>
    <w:qFormat/>
    <w:uiPriority w:val="0"/>
    <w:pPr>
      <w:keepNext/>
      <w:keepLines/>
      <w:spacing w:before="280" w:after="290" w:line="376" w:lineRule="auto"/>
      <w:outlineLvl w:val="3"/>
    </w:pPr>
    <w:rPr>
      <w:rFonts w:ascii="Cambria" w:hAnsi="Cambria"/>
      <w:b/>
      <w:bCs/>
      <w:sz w:val="28"/>
      <w:szCs w:val="28"/>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1260"/>
      <w:jc w:val="left"/>
    </w:pPr>
    <w:rPr>
      <w:sz w:val="20"/>
      <w:szCs w:val="20"/>
    </w:rPr>
  </w:style>
  <w:style w:type="paragraph" w:styleId="7">
    <w:name w:val="Document Map"/>
    <w:basedOn w:val="1"/>
    <w:qFormat/>
    <w:uiPriority w:val="0"/>
    <w:pPr>
      <w:shd w:val="clear" w:color="auto" w:fill="000080"/>
    </w:pPr>
  </w:style>
  <w:style w:type="paragraph" w:styleId="8">
    <w:name w:val="toc 5"/>
    <w:basedOn w:val="1"/>
    <w:next w:val="1"/>
    <w:autoRedefine/>
    <w:qFormat/>
    <w:uiPriority w:val="0"/>
    <w:pPr>
      <w:ind w:left="840"/>
      <w:jc w:val="left"/>
    </w:pPr>
    <w:rPr>
      <w:sz w:val="20"/>
      <w:szCs w:val="20"/>
    </w:rPr>
  </w:style>
  <w:style w:type="paragraph" w:styleId="9">
    <w:name w:val="toc 3"/>
    <w:basedOn w:val="1"/>
    <w:next w:val="1"/>
    <w:qFormat/>
    <w:uiPriority w:val="0"/>
    <w:pPr>
      <w:adjustRightInd w:val="0"/>
      <w:snapToGrid w:val="0"/>
      <w:spacing w:line="360" w:lineRule="auto"/>
      <w:ind w:firstLine="400" w:firstLineChars="400"/>
      <w:jc w:val="left"/>
    </w:pPr>
    <w:rPr>
      <w:sz w:val="24"/>
      <w:szCs w:val="20"/>
    </w:rPr>
  </w:style>
  <w:style w:type="paragraph" w:styleId="10">
    <w:name w:val="toc 8"/>
    <w:basedOn w:val="1"/>
    <w:next w:val="1"/>
    <w:autoRedefine/>
    <w:qFormat/>
    <w:uiPriority w:val="0"/>
    <w:pPr>
      <w:ind w:left="1470"/>
      <w:jc w:val="left"/>
    </w:pPr>
    <w:rPr>
      <w:sz w:val="20"/>
      <w:szCs w:val="20"/>
    </w:rPr>
  </w:style>
  <w:style w:type="paragraph" w:styleId="11">
    <w:name w:val="footer"/>
    <w:basedOn w:val="1"/>
    <w:link w:val="25"/>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pPr>
      <w:adjustRightInd w:val="0"/>
      <w:snapToGrid w:val="0"/>
      <w:spacing w:line="360" w:lineRule="auto"/>
      <w:jc w:val="left"/>
    </w:pPr>
    <w:rPr>
      <w:b/>
      <w:bCs/>
      <w:sz w:val="24"/>
      <w:szCs w:val="20"/>
    </w:rPr>
  </w:style>
  <w:style w:type="paragraph" w:styleId="14">
    <w:name w:val="toc 4"/>
    <w:basedOn w:val="1"/>
    <w:next w:val="1"/>
    <w:autoRedefine/>
    <w:qFormat/>
    <w:uiPriority w:val="0"/>
    <w:pPr>
      <w:ind w:left="630"/>
      <w:jc w:val="left"/>
    </w:pPr>
    <w:rPr>
      <w:sz w:val="20"/>
      <w:szCs w:val="20"/>
    </w:rPr>
  </w:style>
  <w:style w:type="paragraph" w:styleId="15">
    <w:name w:val="toc 6"/>
    <w:basedOn w:val="1"/>
    <w:next w:val="1"/>
    <w:autoRedefine/>
    <w:qFormat/>
    <w:uiPriority w:val="0"/>
    <w:pPr>
      <w:ind w:left="1050"/>
      <w:jc w:val="left"/>
    </w:pPr>
    <w:rPr>
      <w:sz w:val="20"/>
      <w:szCs w:val="20"/>
    </w:rPr>
  </w:style>
  <w:style w:type="paragraph" w:styleId="16">
    <w:name w:val="toc 2"/>
    <w:basedOn w:val="1"/>
    <w:next w:val="1"/>
    <w:qFormat/>
    <w:uiPriority w:val="0"/>
    <w:pPr>
      <w:adjustRightInd w:val="0"/>
      <w:snapToGrid w:val="0"/>
      <w:spacing w:line="360" w:lineRule="auto"/>
      <w:ind w:firstLine="200" w:firstLineChars="200"/>
      <w:jc w:val="left"/>
    </w:pPr>
    <w:rPr>
      <w:iCs/>
      <w:sz w:val="24"/>
      <w:szCs w:val="20"/>
    </w:rPr>
  </w:style>
  <w:style w:type="paragraph" w:styleId="17">
    <w:name w:val="toc 9"/>
    <w:basedOn w:val="1"/>
    <w:next w:val="1"/>
    <w:autoRedefine/>
    <w:qFormat/>
    <w:uiPriority w:val="0"/>
    <w:pPr>
      <w:ind w:left="1680"/>
      <w:jc w:val="left"/>
    </w:pPr>
    <w:rPr>
      <w:sz w:val="20"/>
      <w:szCs w:val="20"/>
    </w:rPr>
  </w:style>
  <w:style w:type="character" w:styleId="20">
    <w:name w:val="page number"/>
    <w:basedOn w:val="19"/>
    <w:qFormat/>
    <w:uiPriority w:val="0"/>
  </w:style>
  <w:style w:type="character" w:styleId="21">
    <w:name w:val="Hyperlink"/>
    <w:basedOn w:val="19"/>
    <w:qFormat/>
    <w:uiPriority w:val="0"/>
    <w:rPr>
      <w:color w:val="0000FF"/>
      <w:u w:val="single"/>
    </w:rPr>
  </w:style>
  <w:style w:type="character" w:customStyle="1" w:styleId="22">
    <w:name w:val="标题 4 Char"/>
    <w:basedOn w:val="19"/>
    <w:link w:val="5"/>
    <w:qFormat/>
    <w:uiPriority w:val="0"/>
    <w:rPr>
      <w:rFonts w:ascii="Cambria" w:hAnsi="Cambria"/>
      <w:b/>
      <w:bCs/>
      <w:kern w:val="2"/>
      <w:sz w:val="28"/>
      <w:szCs w:val="28"/>
    </w:rPr>
  </w:style>
  <w:style w:type="paragraph" w:styleId="23">
    <w:name w:val="No Spacing"/>
    <w:link w:val="24"/>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24">
    <w:name w:val="无间隔 Char"/>
    <w:link w:val="23"/>
    <w:qFormat/>
    <w:locked/>
    <w:uiPriority w:val="0"/>
    <w:rPr>
      <w:rFonts w:eastAsia="仿宋_GB2312"/>
      <w:sz w:val="30"/>
      <w:szCs w:val="22"/>
      <w:lang w:bidi="ar-SA"/>
    </w:rPr>
  </w:style>
  <w:style w:type="character" w:customStyle="1" w:styleId="25">
    <w:name w:val="页脚 Char"/>
    <w:basedOn w:val="19"/>
    <w:link w:val="11"/>
    <w:qFormat/>
    <w:uiPriority w:val="0"/>
    <w:rPr>
      <w:kern w:val="2"/>
      <w:sz w:val="18"/>
      <w:szCs w:val="18"/>
    </w:rPr>
  </w:style>
  <w:style w:type="paragraph" w:styleId="26">
    <w:name w:val="List Paragraph"/>
    <w:basedOn w:val="1"/>
    <w:qFormat/>
    <w:uiPriority w:val="0"/>
    <w:pPr>
      <w:ind w:firstLine="420" w:firstLineChars="200"/>
    </w:pPr>
  </w:style>
  <w:style w:type="character" w:customStyle="1" w:styleId="27">
    <w:name w:val="标题 3 Char"/>
    <w:basedOn w:val="19"/>
    <w:link w:val="4"/>
    <w:qFormat/>
    <w:uiPriority w:val="0"/>
    <w:rPr>
      <w:b/>
      <w:bCs/>
      <w:kern w:val="2"/>
      <w:sz w:val="32"/>
      <w:szCs w:val="32"/>
    </w:rPr>
  </w:style>
  <w:style w:type="paragraph" w:customStyle="1" w:styleId="28">
    <w:name w:val="MsoNormal"/>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r="http://schemas.openxmlformats.org/officeDocument/2006/relationships" xmlns:w="http://schemas.openxmlformats.org/wordprocessingml/2006/main"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8970FEC6-4713-4533-B97B-9874FB2CF66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22</Pages>
  <Words>3149</Words>
  <Characters>3505</Characters>
  <Lines>80</Lines>
  <Paragraphs>22</Paragraphs>
  <TotalTime>5</TotalTime>
  <ScaleCrop>false</ScaleCrop>
  <LinksUpToDate>false</LinksUpToDate>
  <CharactersWithSpaces>3809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2025-09-17T03:24:00Z</dcterms:created>
  <dc:creator>Administrator</dc:creator>
  <cp:lastModifiedBy>WPS_1523843543</cp:lastModifiedBy>
  <cp:lastPrinted>2021-04-16T00:45:00Z</cp:lastPrinted>
  <dcterms:modified xsi:type="dcterms:W3CDTF">2025-10-11T01:45:42Z</dcterms:modified>
  <dc:title>××年度××部门/单位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E6F54D00B463426080D769F2070AB4AA_13</vt:lpwstr>
  </property>
  <property fmtid="{D5CDD505-2E9C-101B-9397-08002B2CF9AE}" pid="3" name="KSOProductBuildVer">
    <vt:lpwstr>2052-12.1.0.22529</vt:lpwstr>
  </property>
  <property fmtid="{D5CDD505-2E9C-101B-9397-08002B2CF9AE}" pid="4" name="KSOTemplateDocerSaveRecord">
    <vt:lpwstr>eyJoZGlkIjoiNGEzYzM4NDJjNDIwM2VmMmQ3NDliNjNjYTNkNjMyYzEiLCJ1c2VySWQiOiIzNjI0MTQyOTgifQ==</vt:lpwstr>
  </property>
</Properties>
</file>